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518" w:rsidRPr="003F4E49" w:rsidRDefault="003F4E49">
      <w:pPr>
        <w:tabs>
          <w:tab w:val="left" w:pos="9072"/>
        </w:tabs>
        <w:rPr>
          <w:rFonts w:ascii="Arial" w:hAnsi="Arial" w:cs="Arial"/>
          <w:b/>
          <w:sz w:val="28"/>
          <w:szCs w:val="28"/>
        </w:rPr>
      </w:pPr>
      <w:r w:rsidRPr="003F4E49">
        <w:rPr>
          <w:rFonts w:ascii="Arial" w:hAnsi="Arial" w:cs="Arial"/>
          <w:b/>
          <w:sz w:val="28"/>
          <w:szCs w:val="28"/>
        </w:rPr>
        <w:t>Aufgabe 1</w:t>
      </w:r>
    </w:p>
    <w:p w:rsidR="003F4E49" w:rsidRDefault="003F4E49">
      <w:pPr>
        <w:tabs>
          <w:tab w:val="left" w:pos="9072"/>
        </w:tabs>
        <w:rPr>
          <w:rFonts w:ascii="Arial" w:hAnsi="Arial" w:cs="Arial"/>
          <w:sz w:val="28"/>
          <w:szCs w:val="28"/>
        </w:rPr>
      </w:pPr>
    </w:p>
    <w:p w:rsidR="003F4E49" w:rsidRDefault="001D2992" w:rsidP="003F4E49">
      <w:pPr>
        <w:tabs>
          <w:tab w:val="left" w:pos="567"/>
          <w:tab w:val="left" w:pos="907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8.8pt;margin-top:4.25pt;width:246.75pt;height:206.25pt;z-index:251657728" stroked="f">
            <v:textbox>
              <w:txbxContent>
                <w:p w:rsidR="003F4E49" w:rsidRDefault="003F4E49" w:rsidP="003F4E49">
                  <w:pPr>
                    <w:tabs>
                      <w:tab w:val="left" w:pos="567"/>
                    </w:tabs>
                    <w:ind w:left="567" w:hanging="567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>Bereits seit 1900 gibt es für Fertig-mahlzeiten speziell konstruierte Konservendosen, die durch eine chemische Reaktion erwärmt werden können.</w:t>
                  </w:r>
                </w:p>
                <w:p w:rsidR="003F4E49" w:rsidRDefault="003F4E49" w:rsidP="003F4E49">
                  <w:pPr>
                    <w:tabs>
                      <w:tab w:val="left" w:pos="567"/>
                    </w:tabs>
                    <w:ind w:left="567" w:hanging="567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F4E49" w:rsidRPr="003F4E49" w:rsidRDefault="003F4E49" w:rsidP="003F4E49">
                  <w:pPr>
                    <w:tabs>
                      <w:tab w:val="left" w:pos="567"/>
                    </w:tabs>
                    <w:ind w:left="567" w:hanging="567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>Eine in der Praxis erprobte Version einer Hot-Can®-Konservendose ist im nebenstehenden Schaubild schema-tisch dargestellt. Hierbei wird die bei der Reaktion von Calciumoxid mit Wasser zu Calciumhydroxid freige-setzte Energie zur Erwärmung der Fertigmahlzeit genutzt.</w:t>
                  </w:r>
                </w:p>
              </w:txbxContent>
            </v:textbox>
          </v:shape>
        </w:pict>
      </w:r>
      <w:r w:rsidR="003F4E49">
        <w:rPr>
          <w:rFonts w:ascii="Arial" w:hAnsi="Arial" w:cs="Arial"/>
          <w:sz w:val="28"/>
          <w:szCs w:val="28"/>
        </w:rPr>
        <w:t xml:space="preserve">                                                              </w:t>
      </w:r>
      <w:r w:rsidR="0016270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76525" cy="2962275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49" w:rsidRDefault="003F4E49" w:rsidP="003F4E49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 w:rsidRPr="003F4E49">
        <w:rPr>
          <w:rFonts w:ascii="Arial" w:hAnsi="Arial" w:cs="Arial"/>
          <w:sz w:val="24"/>
          <w:szCs w:val="24"/>
        </w:rPr>
        <w:tab/>
        <w:t>Funktionsweise:</w:t>
      </w:r>
    </w:p>
    <w:p w:rsidR="003F4E49" w:rsidRDefault="003F4E49" w:rsidP="003F4E49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Die Trennschicht wird an mehreren Stellen mit einem Lochdorn durchstoßen, wodurch das Wasser in die Cal</w:t>
      </w:r>
      <w:r w:rsidR="00AF704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iumoxid-Schicht gelangt.</w:t>
      </w:r>
    </w:p>
    <w:p w:rsidR="003F4E49" w:rsidRDefault="003F4E49" w:rsidP="003F4E49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Die exotherme Reaktion beginnt und der Doseninhalt erwärmt sich innerhalb weniger Minuten.</w:t>
      </w:r>
    </w:p>
    <w:p w:rsidR="003F4E49" w:rsidRDefault="003F4E49" w:rsidP="003F4E49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3F4E49" w:rsidRDefault="003F4E49" w:rsidP="003F4E49">
      <w:pPr>
        <w:tabs>
          <w:tab w:val="left" w:pos="567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>
        <w:rPr>
          <w:rFonts w:ascii="Arial" w:hAnsi="Arial" w:cs="Arial"/>
          <w:sz w:val="24"/>
          <w:szCs w:val="24"/>
        </w:rPr>
        <w:tab/>
        <w:t>Formulieren Sie eine Reaktionsgleichung für die ablaufende Reaktion und berechnen Sie hierfür die Standardreaktionsenthalpie Δ</w:t>
      </w:r>
      <w:r w:rsidRPr="003F4E49">
        <w:rPr>
          <w:rFonts w:ascii="Arial" w:hAnsi="Arial" w:cs="Arial"/>
          <w:sz w:val="24"/>
          <w:szCs w:val="24"/>
          <w:vertAlign w:val="subscript"/>
        </w:rPr>
        <w:t>r</w:t>
      </w:r>
      <w:r w:rsidRPr="003F4E49">
        <w:rPr>
          <w:rFonts w:ascii="Arial" w:hAnsi="Arial" w:cs="Arial"/>
          <w:i/>
          <w:sz w:val="24"/>
          <w:szCs w:val="24"/>
        </w:rPr>
        <w:t>H</w:t>
      </w:r>
      <w:r w:rsidRPr="003F4E49">
        <w:rPr>
          <w:rFonts w:ascii="Arial" w:hAnsi="Arial" w:cs="Arial"/>
          <w:sz w:val="24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.</w:t>
      </w:r>
    </w:p>
    <w:p w:rsidR="003F4E49" w:rsidRDefault="003F4E49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F7049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Hydratationseffekte bleiben unberücksichtigt)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3F4E49">
        <w:rPr>
          <w:rFonts w:ascii="Arial" w:hAnsi="Arial" w:cs="Arial"/>
          <w:b/>
          <w:sz w:val="24"/>
          <w:szCs w:val="24"/>
        </w:rPr>
        <w:t>3 VP</w:t>
      </w:r>
    </w:p>
    <w:p w:rsidR="003F4E49" w:rsidRDefault="003F4E49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3F4E49" w:rsidRDefault="003F4E49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ab/>
        <w:t>Berechnen Sie die Massen an Calciumoxid und Wasser in der Außendose, die erforderlich sind, um 400 mL Kaffee um 75 K zu erwärmen.</w:t>
      </w:r>
    </w:p>
    <w:p w:rsidR="003F4E49" w:rsidRPr="00D15235" w:rsidRDefault="003F4E49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15235">
        <w:rPr>
          <w:rFonts w:ascii="Arial" w:hAnsi="Arial" w:cs="Arial"/>
          <w:i/>
          <w:sz w:val="24"/>
          <w:szCs w:val="24"/>
        </w:rPr>
        <w:t>Hinweise / Vereinfachungen:</w:t>
      </w:r>
    </w:p>
    <w:p w:rsidR="003F4E49" w:rsidRDefault="003F4E49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Das System kann als isoliert betrachtet werden.</w:t>
      </w:r>
    </w:p>
    <w:p w:rsidR="003F4E49" w:rsidRDefault="003F4E49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Für Kaffee können näherungsweise die Dichte und die spezifische Wärmekapazität des Wassers (</w:t>
      </w:r>
      <w:r w:rsidRPr="00AF7049">
        <w:rPr>
          <w:rFonts w:ascii="Arial" w:hAnsi="Arial" w:cs="Arial"/>
          <w:i/>
          <w:sz w:val="24"/>
          <w:szCs w:val="24"/>
        </w:rPr>
        <w:t>c</w:t>
      </w:r>
      <w:r w:rsidRPr="00D15235">
        <w:rPr>
          <w:rFonts w:ascii="Arial" w:hAnsi="Arial" w:cs="Arial"/>
          <w:sz w:val="24"/>
          <w:szCs w:val="24"/>
          <w:vertAlign w:val="subscript"/>
        </w:rPr>
        <w:t>W</w:t>
      </w:r>
      <w:r>
        <w:rPr>
          <w:rFonts w:ascii="Arial" w:hAnsi="Arial" w:cs="Arial"/>
          <w:sz w:val="24"/>
          <w:szCs w:val="24"/>
        </w:rPr>
        <w:t xml:space="preserve"> = 4,18 J ∙</w:t>
      </w:r>
      <w:r w:rsidR="00D15235">
        <w:rPr>
          <w:rFonts w:ascii="Arial" w:hAnsi="Arial" w:cs="Arial"/>
          <w:sz w:val="24"/>
          <w:szCs w:val="24"/>
        </w:rPr>
        <w:t xml:space="preserve"> g</w:t>
      </w:r>
      <w:r w:rsidR="00D15235" w:rsidRPr="00D15235">
        <w:rPr>
          <w:rFonts w:ascii="Arial" w:hAnsi="Arial" w:cs="Arial"/>
          <w:sz w:val="24"/>
          <w:szCs w:val="24"/>
          <w:vertAlign w:val="superscript"/>
        </w:rPr>
        <w:t>-1</w:t>
      </w:r>
      <w:r w:rsidR="00D15235">
        <w:rPr>
          <w:rFonts w:ascii="Arial" w:hAnsi="Arial" w:cs="Arial"/>
          <w:sz w:val="24"/>
          <w:szCs w:val="24"/>
        </w:rPr>
        <w:t xml:space="preserve"> ∙ K</w:t>
      </w:r>
      <w:r w:rsidR="00D15235" w:rsidRPr="00D15235">
        <w:rPr>
          <w:rFonts w:ascii="Arial" w:hAnsi="Arial" w:cs="Arial"/>
          <w:sz w:val="24"/>
          <w:szCs w:val="24"/>
          <w:vertAlign w:val="superscript"/>
        </w:rPr>
        <w:t>-1</w:t>
      </w:r>
      <w:r w:rsidR="00D15235">
        <w:rPr>
          <w:rFonts w:ascii="Arial" w:hAnsi="Arial" w:cs="Arial"/>
          <w:sz w:val="24"/>
          <w:szCs w:val="24"/>
        </w:rPr>
        <w:t>) verwendet werden.</w:t>
      </w:r>
    </w:p>
    <w:p w:rsidR="00D15235" w:rsidRDefault="00D15235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Wärmekapazität der Hot-Can® (inklusive Wasser und Calciumoxid):</w:t>
      </w:r>
    </w:p>
    <w:p w:rsidR="00D15235" w:rsidRDefault="00D15235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F7049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= 449 J∙ K</w:t>
      </w:r>
      <w:r w:rsidRPr="00D15235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D15235">
        <w:rPr>
          <w:rFonts w:ascii="Arial" w:hAnsi="Arial" w:cs="Arial"/>
          <w:b/>
          <w:sz w:val="24"/>
          <w:szCs w:val="24"/>
        </w:rPr>
        <w:t>4 VP</w:t>
      </w:r>
    </w:p>
    <w:p w:rsidR="00D15235" w:rsidRDefault="00D15235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D15235" w:rsidRDefault="00D15235" w:rsidP="003F4E49">
      <w:pPr>
        <w:tabs>
          <w:tab w:val="left" w:pos="567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>
        <w:rPr>
          <w:rFonts w:ascii="Arial" w:hAnsi="Arial" w:cs="Arial"/>
          <w:sz w:val="24"/>
          <w:szCs w:val="24"/>
        </w:rPr>
        <w:tab/>
        <w:t>Calciumhydroxid bildet mit Wasser eine stark alkalische Lösung.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•</w:t>
      </w:r>
      <w:r>
        <w:rPr>
          <w:rFonts w:ascii="Arial" w:hAnsi="Arial" w:cs="Arial"/>
          <w:sz w:val="24"/>
          <w:szCs w:val="24"/>
        </w:rPr>
        <w:tab/>
        <w:t xml:space="preserve">Berechnen Sie den pH-Wert einer gesättigten Calciumhydroxid-Lösung, 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bei der in einem Liter Lösung 1,7 g Calciumhydroxid gelöst sind.</w:t>
      </w:r>
    </w:p>
    <w:p w:rsidR="00D15235" w:rsidRDefault="00D15235" w:rsidP="00D15235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7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Zeigen Sie mit Hilfe einer Reaktionsgleichung, dass durch Umsetzung der Lösung mit Kohlenstoffdioxid unbedenkliche Produkte entstehen.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Benennen Sie diese und beurteilen Sie, ob dadurch eine weggeworfene Dose unbedenklich ist.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D15235">
        <w:rPr>
          <w:rFonts w:ascii="Arial" w:hAnsi="Arial" w:cs="Arial"/>
          <w:b/>
          <w:sz w:val="24"/>
          <w:szCs w:val="24"/>
        </w:rPr>
        <w:t>5 VP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>
        <w:rPr>
          <w:rFonts w:ascii="Arial" w:hAnsi="Arial" w:cs="Arial"/>
          <w:sz w:val="24"/>
          <w:szCs w:val="24"/>
        </w:rPr>
        <w:tab/>
        <w:t xml:space="preserve">Zur exakten Bestimmung der Stoffmengenkonzentration </w:t>
      </w:r>
      <w:r w:rsidRPr="00D15235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von Salzsäure wird eine Titration durchgeführt. Hierbei wird bei 20 °C zu 20 mL Salzsäure unbekannter Konzentration Natronlauge der Stoffmengenkonzentration             </w:t>
      </w:r>
      <w:r w:rsidRPr="00D15235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= 1 mol ∙ L</w:t>
      </w:r>
      <w:r w:rsidRPr="00D15235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zugetropft. Dabei werden sowohl der pH-Wert als auch die Temperatur der Lösung fortlaufend gemessen.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Die Messergebnisse werden in Abhängigkeit vom Volumen der zugetropften Natronlauge dargestellt.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D15235" w:rsidRDefault="0016270B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43575" cy="2295525"/>
            <wp:effectExtent l="1905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>
        <w:rPr>
          <w:rFonts w:ascii="Arial" w:hAnsi="Arial" w:cs="Arial"/>
          <w:sz w:val="24"/>
          <w:szCs w:val="24"/>
        </w:rPr>
        <w:tab/>
        <w:t xml:space="preserve">Begründen Sie, warum der Äquivalenzpunkt </w:t>
      </w:r>
      <w:r w:rsidR="00AF7049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ei pH = 7 liegt und berechnen Sie die Stoffmengenkonzentration der Salzsäure.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Erläutern Sie, welcher pH-Wert sich näherungsweise einstellt, wenn zu der Lösung weiterhin Natronlauge zugetropft wird.</w:t>
      </w:r>
      <w:r>
        <w:rPr>
          <w:rFonts w:ascii="Arial" w:hAnsi="Arial" w:cs="Arial"/>
          <w:sz w:val="24"/>
          <w:szCs w:val="24"/>
        </w:rPr>
        <w:tab/>
      </w:r>
      <w:r w:rsidRPr="00D15235">
        <w:rPr>
          <w:rFonts w:ascii="Arial" w:hAnsi="Arial" w:cs="Arial"/>
          <w:b/>
          <w:sz w:val="24"/>
          <w:szCs w:val="24"/>
        </w:rPr>
        <w:t xml:space="preserve">  4 VP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</w:t>
      </w:r>
      <w:r>
        <w:rPr>
          <w:rFonts w:ascii="Arial" w:hAnsi="Arial" w:cs="Arial"/>
          <w:sz w:val="24"/>
          <w:szCs w:val="24"/>
        </w:rPr>
        <w:tab/>
        <w:t>Erklären Sie, weshalb der Äquivalenzpunkt auch über die Temperaturkurve bestimmt werden kann.</w:t>
      </w:r>
    </w:p>
    <w:p w:rsidR="00D15235" w:rsidRP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Beurteilen Sie den Einfluss der Konzentrationen der Lösungen auf die Eignung der Temperatur-Methode zur Äq</w:t>
      </w:r>
      <w:r w:rsidR="00AF7049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ivalenzpunktbestimmung.</w:t>
      </w:r>
      <w:r>
        <w:rPr>
          <w:rFonts w:ascii="Arial" w:hAnsi="Arial" w:cs="Arial"/>
          <w:sz w:val="24"/>
          <w:szCs w:val="24"/>
        </w:rPr>
        <w:tab/>
      </w:r>
      <w:r w:rsidRPr="00D15235">
        <w:rPr>
          <w:rFonts w:ascii="Arial" w:hAnsi="Arial" w:cs="Arial"/>
          <w:b/>
          <w:sz w:val="24"/>
          <w:szCs w:val="24"/>
        </w:rPr>
        <w:t xml:space="preserve">  4 VP</w:t>
      </w:r>
    </w:p>
    <w:p w:rsidR="00D15235" w:rsidRP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15235">
        <w:rPr>
          <w:rFonts w:ascii="Arial" w:hAnsi="Arial" w:cs="Arial"/>
          <w:b/>
          <w:sz w:val="24"/>
          <w:szCs w:val="24"/>
        </w:rPr>
        <w:t>_____</w:t>
      </w:r>
    </w:p>
    <w:p w:rsidR="00D15235" w:rsidRP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15235">
        <w:rPr>
          <w:rFonts w:ascii="Arial" w:hAnsi="Arial" w:cs="Arial"/>
          <w:b/>
          <w:sz w:val="24"/>
          <w:szCs w:val="24"/>
        </w:rPr>
        <w:t>20 VP</w:t>
      </w:r>
    </w:p>
    <w:p w:rsidR="00B2268E" w:rsidRDefault="00B2268E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  <w:sectPr w:rsidR="00B2268E">
          <w:headerReference w:type="default" r:id="rId9"/>
          <w:footerReference w:type="default" r:id="rId10"/>
          <w:pgSz w:w="11906" w:h="16838"/>
          <w:pgMar w:top="1701" w:right="1418" w:bottom="1134" w:left="1418" w:header="567" w:footer="567" w:gutter="0"/>
          <w:cols w:space="720"/>
        </w:sectPr>
      </w:pPr>
    </w:p>
    <w:p w:rsidR="00B2268E" w:rsidRPr="003F4E49" w:rsidRDefault="00B2268E" w:rsidP="00B2268E">
      <w:pPr>
        <w:tabs>
          <w:tab w:val="left" w:pos="907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Aufgabe 2</w:t>
      </w:r>
    </w:p>
    <w:p w:rsidR="00D15235" w:rsidRDefault="00D15235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B42EC4" w:rsidRDefault="00EF142A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B42EC4">
        <w:rPr>
          <w:rFonts w:ascii="Arial" w:hAnsi="Arial" w:cs="Arial"/>
          <w:sz w:val="24"/>
          <w:szCs w:val="24"/>
        </w:rPr>
        <w:tab/>
        <w:t>Alginsäure kommt in den Zellwänden von Algen vor. Sie verleiht ihnen als interzelluläre Gelmatrix sowohl Flexibilität als auch Stabilität.</w:t>
      </w:r>
    </w:p>
    <w:p w:rsidR="00B42EC4" w:rsidRDefault="00B42EC4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Alginsäure ist ein Polysaccharid, in dem die beiden Uronsäuren L-Guluronsäure und D-Mannuronsäure abwechselnd zu linearen Ketten verbunden sind.</w:t>
      </w:r>
    </w:p>
    <w:p w:rsidR="00B42EC4" w:rsidRDefault="00B42EC4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B42EC4" w:rsidRDefault="00B42EC4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6270B">
        <w:rPr>
          <w:noProof/>
        </w:rPr>
        <w:drawing>
          <wp:inline distT="0" distB="0" distL="0" distR="0">
            <wp:extent cx="1895475" cy="1762125"/>
            <wp:effectExtent l="19050" t="0" r="9525" b="0"/>
            <wp:docPr id="4" name="Bild 4" descr="Ch_Guluronsä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_Guluronsä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EC4">
        <w:rPr>
          <w:rFonts w:ascii="Arial" w:hAnsi="Arial" w:cs="Arial"/>
          <w:sz w:val="24"/>
          <w:szCs w:val="24"/>
        </w:rPr>
        <w:t>L-Guluronsäure</w:t>
      </w:r>
    </w:p>
    <w:p w:rsidR="00B42EC4" w:rsidRDefault="00B42EC4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B42EC4" w:rsidRDefault="00B42EC4" w:rsidP="00D1523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>
        <w:rPr>
          <w:rFonts w:ascii="Arial" w:hAnsi="Arial" w:cs="Arial"/>
          <w:sz w:val="24"/>
          <w:szCs w:val="24"/>
        </w:rPr>
        <w:tab/>
        <w:t>Die β-D-Mannuronsäure unterscheidet sich von der β-D-Glucose in der Stellung der OH-Gruppe am C-Atom Nr. 2 und das C-Atom Nr. 6 ist zur Carboxylgruppe oxidiert.</w:t>
      </w:r>
    </w:p>
    <w:p w:rsidR="00B42EC4" w:rsidRDefault="00B42EC4" w:rsidP="00B42EC4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Zeichnen Sie die Strukturformel der β-D-Mannuronsäure in der </w:t>
      </w:r>
      <w:r w:rsidRPr="00B42EC4">
        <w:rPr>
          <w:rFonts w:ascii="Arial" w:hAnsi="Arial" w:cs="Arial"/>
          <w:smallCaps/>
          <w:sz w:val="24"/>
          <w:szCs w:val="24"/>
        </w:rPr>
        <w:t>Haworth</w:t>
      </w:r>
      <w:r>
        <w:rPr>
          <w:rFonts w:ascii="Arial" w:hAnsi="Arial" w:cs="Arial"/>
          <w:sz w:val="24"/>
          <w:szCs w:val="24"/>
        </w:rPr>
        <w:t>-Projektion.</w:t>
      </w:r>
      <w:r>
        <w:rPr>
          <w:rFonts w:ascii="Arial" w:hAnsi="Arial" w:cs="Arial"/>
          <w:sz w:val="24"/>
          <w:szCs w:val="24"/>
        </w:rPr>
        <w:tab/>
      </w:r>
      <w:r w:rsidRPr="00B42EC4">
        <w:rPr>
          <w:rFonts w:ascii="Arial" w:hAnsi="Arial" w:cs="Arial"/>
          <w:b/>
          <w:sz w:val="24"/>
          <w:szCs w:val="24"/>
        </w:rPr>
        <w:t xml:space="preserve">  2 VP</w:t>
      </w:r>
    </w:p>
    <w:p w:rsidR="00AF7049" w:rsidRDefault="00AF7049" w:rsidP="00AF704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B42EC4" w:rsidRDefault="00B42EC4" w:rsidP="00AF704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ab/>
        <w:t>Die beiden Uronsäuren sollen 1,4-glykosidisch zu einem Disaccharid verbunden werden.</w:t>
      </w:r>
    </w:p>
    <w:p w:rsidR="00B42EC4" w:rsidRDefault="00B42EC4" w:rsidP="00B42EC4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•</w:t>
      </w:r>
      <w:r>
        <w:rPr>
          <w:rFonts w:ascii="Arial" w:hAnsi="Arial" w:cs="Arial"/>
          <w:sz w:val="24"/>
          <w:szCs w:val="24"/>
        </w:rPr>
        <w:tab/>
        <w:t xml:space="preserve">Formulieren Sie die vollständige Reaktionsgleichung in </w:t>
      </w:r>
      <w:r w:rsidRPr="00B42EC4">
        <w:rPr>
          <w:rFonts w:ascii="Arial" w:hAnsi="Arial" w:cs="Arial"/>
          <w:smallCaps/>
          <w:sz w:val="24"/>
          <w:szCs w:val="24"/>
        </w:rPr>
        <w:t>Haworth</w:t>
      </w:r>
      <w:r>
        <w:rPr>
          <w:rFonts w:ascii="Arial" w:hAnsi="Arial" w:cs="Arial"/>
          <w:sz w:val="24"/>
          <w:szCs w:val="24"/>
        </w:rPr>
        <w:t>-Projektion</w:t>
      </w:r>
    </w:p>
    <w:p w:rsidR="00B42EC4" w:rsidRDefault="00B42EC4" w:rsidP="00B42EC4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und benennen Sie den Reaktionstyp.</w:t>
      </w:r>
    </w:p>
    <w:p w:rsidR="00B42EC4" w:rsidRPr="00B42EC4" w:rsidRDefault="00B42EC4" w:rsidP="004A5E00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7" w:hanging="284"/>
        <w:rPr>
          <w:rFonts w:ascii="Arial" w:hAnsi="Arial" w:cs="Arial"/>
          <w:sz w:val="24"/>
          <w:szCs w:val="24"/>
        </w:rPr>
      </w:pPr>
      <w:r w:rsidRPr="00B42EC4">
        <w:rPr>
          <w:rFonts w:ascii="Arial" w:hAnsi="Arial" w:cs="Arial"/>
          <w:sz w:val="24"/>
          <w:szCs w:val="24"/>
        </w:rPr>
        <w:t>Begründen Sie, ob das von Ihnen gezeichnete Disaccharid reduzierend</w:t>
      </w:r>
      <w:r>
        <w:rPr>
          <w:rFonts w:ascii="Arial" w:hAnsi="Arial" w:cs="Arial"/>
          <w:sz w:val="24"/>
          <w:szCs w:val="24"/>
        </w:rPr>
        <w:t xml:space="preserve"> w</w:t>
      </w:r>
      <w:r w:rsidRPr="00B42EC4">
        <w:rPr>
          <w:rFonts w:ascii="Arial" w:hAnsi="Arial" w:cs="Arial"/>
          <w:sz w:val="24"/>
          <w:szCs w:val="24"/>
        </w:rPr>
        <w:t>irkt. Beschreiben Sie ein Experiment, mit dem Sie Ihre Aussage überprüfen können.</w:t>
      </w:r>
    </w:p>
    <w:p w:rsidR="00B42EC4" w:rsidRDefault="00B42EC4" w:rsidP="004A5E00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7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Zeigen Sie mit Hilfe von Oxidationszahlen, dass die beschriebene Nachweis-reaktion eine Redoxreaktion ist.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B42EC4">
        <w:rPr>
          <w:rFonts w:ascii="Arial" w:hAnsi="Arial" w:cs="Arial"/>
          <w:b/>
          <w:sz w:val="24"/>
          <w:szCs w:val="24"/>
        </w:rPr>
        <w:t>7 VP</w:t>
      </w:r>
    </w:p>
    <w:p w:rsidR="00B42EC4" w:rsidRDefault="00B42EC4" w:rsidP="00B42EC4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B42EC4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  <w:t>Die Salze der Alginsäure, die sogenannten Alginate, werden bei der Lebensmittelherstellung als Gelier- und Verdickungsmittel eingesetzt.</w:t>
      </w: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>
        <w:rPr>
          <w:rFonts w:ascii="Arial" w:hAnsi="Arial" w:cs="Arial"/>
          <w:sz w:val="24"/>
          <w:szCs w:val="24"/>
        </w:rPr>
        <w:tab/>
        <w:t>Die in Wasser unlösliche Alginsäure kann durch Reaktion mit Natronlauge in wasserlösliches Natriumalginat überführt werden.</w:t>
      </w:r>
    </w:p>
    <w:p w:rsidR="00EF142A" w:rsidRP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Zeichnen Sie einen typischen Strukturformelausschnitt in </w:t>
      </w:r>
      <w:r w:rsidRPr="00B42EC4">
        <w:rPr>
          <w:rFonts w:ascii="Arial" w:hAnsi="Arial" w:cs="Arial"/>
          <w:smallCaps/>
          <w:sz w:val="24"/>
          <w:szCs w:val="24"/>
        </w:rPr>
        <w:t>Haworth</w:t>
      </w:r>
      <w:r>
        <w:rPr>
          <w:rFonts w:ascii="Arial" w:hAnsi="Arial" w:cs="Arial"/>
          <w:sz w:val="24"/>
          <w:szCs w:val="24"/>
        </w:rPr>
        <w:t>-Projektion und erläutern Sie die gute Wasserlöslichkeit des Natriumalginats im Vergleich zur Alginsäure.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EF142A">
        <w:rPr>
          <w:rFonts w:ascii="Arial" w:hAnsi="Arial" w:cs="Arial"/>
          <w:b/>
          <w:sz w:val="24"/>
          <w:szCs w:val="24"/>
        </w:rPr>
        <w:t>3 VP</w:t>
      </w: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</w:t>
      </w:r>
      <w:r>
        <w:rPr>
          <w:rFonts w:ascii="Arial" w:hAnsi="Arial" w:cs="Arial"/>
          <w:sz w:val="24"/>
          <w:szCs w:val="24"/>
        </w:rPr>
        <w:tab/>
        <w:t>Bei der Verwendung von Alginaten als Geliermittel ersetzt man die Natrium-Ionen durch Calcium-Ionen. Die Beweglichkeit der Polymerketten wird dadurch erheblich verringert.</w:t>
      </w:r>
    </w:p>
    <w:p w:rsidR="00EF142A" w:rsidRP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Erklären Sie dieses Phänomen.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EF142A">
        <w:rPr>
          <w:rFonts w:ascii="Arial" w:hAnsi="Arial" w:cs="Arial"/>
          <w:b/>
          <w:sz w:val="24"/>
          <w:szCs w:val="24"/>
        </w:rPr>
        <w:t>2 VP</w:t>
      </w: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>
        <w:rPr>
          <w:rFonts w:ascii="Arial" w:hAnsi="Arial" w:cs="Arial"/>
          <w:sz w:val="24"/>
          <w:szCs w:val="24"/>
        </w:rPr>
        <w:tab/>
        <w:t>Für Soßen und Süßspeisen wird häufig die aus Knochen und Knorpel von Schlachttierabfällen gewonnene Gelatine als Verdickungsmittel verwendet.</w:t>
      </w: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Gelatinepulver wird in heißem Wasser gelöst, beim Abkühlen beginnt die Verdickung. Bei Zugabe von Ninhydrin-Lösung färbt sich das Gel violett. Auch die </w:t>
      </w:r>
      <w:r w:rsidRPr="00EF142A">
        <w:rPr>
          <w:rFonts w:ascii="Arial" w:hAnsi="Arial" w:cs="Arial"/>
          <w:smallCaps/>
          <w:sz w:val="24"/>
          <w:szCs w:val="24"/>
        </w:rPr>
        <w:t>Biuret</w:t>
      </w:r>
      <w:r>
        <w:rPr>
          <w:rFonts w:ascii="Arial" w:hAnsi="Arial" w:cs="Arial"/>
          <w:sz w:val="24"/>
          <w:szCs w:val="24"/>
        </w:rPr>
        <w:t>-Probe verläuft positiv.</w:t>
      </w:r>
    </w:p>
    <w:p w:rsidR="00EF142A" w:rsidRDefault="00EF142A" w:rsidP="00EF142A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1" w:hanging="2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Benennen Sie die Stoffklasse, die mit diesen Reaktionen nachgewiesen werden kann.</w:t>
      </w:r>
    </w:p>
    <w:p w:rsidR="00EF142A" w:rsidRDefault="00EF142A" w:rsidP="00AF7049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7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Vergleichen Sie die Monomere dieser </w:t>
      </w:r>
      <w:r w:rsidR="00AF704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toffklasse mit den Monomeren der oben beschriebenen Alginsäure (drei Angaben).</w:t>
      </w: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Geliervermögen der Gelatine hängt von der Zusammensetzung der Makromoleküle ab.</w:t>
      </w:r>
    </w:p>
    <w:p w:rsidR="00EF142A" w:rsidRDefault="00EF142A" w:rsidP="00EF142A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1" w:hanging="2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Charakterisieren Sie die Monomere, die hierfür besonders geeignet sind, und begründen Sie.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EF142A">
        <w:rPr>
          <w:rFonts w:ascii="Arial" w:hAnsi="Arial" w:cs="Arial"/>
          <w:b/>
          <w:sz w:val="24"/>
          <w:szCs w:val="24"/>
        </w:rPr>
        <w:t>6 VP</w:t>
      </w:r>
    </w:p>
    <w:p w:rsidR="00EF142A" w:rsidRP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93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F142A">
        <w:rPr>
          <w:rFonts w:ascii="Arial" w:hAnsi="Arial" w:cs="Arial"/>
          <w:b/>
          <w:sz w:val="24"/>
          <w:szCs w:val="24"/>
        </w:rPr>
        <w:t>_____</w:t>
      </w:r>
    </w:p>
    <w:p w:rsidR="00EF142A" w:rsidRP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ind w:left="93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F142A">
        <w:rPr>
          <w:rFonts w:ascii="Arial" w:hAnsi="Arial" w:cs="Arial"/>
          <w:b/>
          <w:sz w:val="24"/>
          <w:szCs w:val="24"/>
        </w:rPr>
        <w:t>20 VP</w:t>
      </w:r>
    </w:p>
    <w:p w:rsidR="00F56712" w:rsidRDefault="00F56712" w:rsidP="00EF142A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  <w:sectPr w:rsidR="00F56712" w:rsidSect="008F6518">
          <w:headerReference w:type="default" r:id="rId12"/>
          <w:pgSz w:w="11906" w:h="16838"/>
          <w:pgMar w:top="1701" w:right="1418" w:bottom="1134" w:left="1418" w:header="567" w:footer="567" w:gutter="0"/>
          <w:cols w:space="720"/>
        </w:sectPr>
      </w:pPr>
    </w:p>
    <w:p w:rsidR="00F56712" w:rsidRPr="003F4E49" w:rsidRDefault="00F56712" w:rsidP="00F56712">
      <w:pPr>
        <w:tabs>
          <w:tab w:val="left" w:pos="907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Aufgabe 3</w:t>
      </w:r>
    </w:p>
    <w:p w:rsidR="00EF142A" w:rsidRDefault="00EF142A" w:rsidP="00EF142A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F56712" w:rsidRDefault="00F56712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Aromatische Dicarbonsäuren wie Phthalsäure und Terephthalsäure und deren Derivate sind wichtige Bausteine moderner Kunststoffe.</w:t>
      </w:r>
    </w:p>
    <w:p w:rsidR="00F56712" w:rsidRDefault="00F56712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F56712" w:rsidRDefault="00F56712" w:rsidP="005353DC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>
        <w:rPr>
          <w:rFonts w:ascii="Arial" w:hAnsi="Arial" w:cs="Arial"/>
          <w:sz w:val="24"/>
          <w:szCs w:val="24"/>
        </w:rPr>
        <w:tab/>
        <w:t>Sie finden Verwendung in Aramiden (aromatischen Polyamiden), die sich</w:t>
      </w:r>
      <w:r w:rsidR="005353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zur Herstellung hitzefester Kunstfasern wie z.B.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 xml:space="preserve">® in Brandschutzkleidung eignen. Bei der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>®-Synthese verwendet man</w:t>
      </w:r>
      <w:r w:rsidR="005353DC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>,3-Diaminobenzol und Phthaloyldichlorid (Phthalsäuredichlorid).</w:t>
      </w:r>
    </w:p>
    <w:p w:rsidR="00F56712" w:rsidRDefault="00F56712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5353DC" w:rsidRDefault="0016270B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72075" cy="1905000"/>
            <wp:effectExtent l="19050" t="0" r="9525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DC" w:rsidRDefault="005353DC" w:rsidP="005353DC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Zeichnen Sie einen </w:t>
      </w:r>
      <w:r w:rsidR="00AF704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trukturformelausschnitt von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 xml:space="preserve">®, der drei Monomer-Bausteine umfasst und benennen Sie den Reaktionstyp der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>®-Synthese.</w:t>
      </w:r>
    </w:p>
    <w:p w:rsidR="005353DC" w:rsidRPr="005353DC" w:rsidRDefault="005353DC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5353DC">
        <w:rPr>
          <w:rFonts w:ascii="Arial" w:hAnsi="Arial" w:cs="Arial"/>
          <w:b/>
          <w:sz w:val="24"/>
          <w:szCs w:val="24"/>
        </w:rPr>
        <w:t>3 VP</w:t>
      </w:r>
    </w:p>
    <w:p w:rsidR="005353DC" w:rsidRDefault="005353DC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5353DC" w:rsidRDefault="005353DC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>
        <w:rPr>
          <w:rFonts w:ascii="Arial" w:hAnsi="Arial" w:cs="Arial"/>
          <w:sz w:val="24"/>
          <w:szCs w:val="24"/>
        </w:rPr>
        <w:tab/>
        <w:t>Getränkeflaschen bestehen häufig aus PET (Polyethylenterephthalat):</w:t>
      </w:r>
    </w:p>
    <w:p w:rsidR="005353DC" w:rsidRDefault="005353DC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6270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790575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DC" w:rsidRPr="005353DC" w:rsidRDefault="005353DC" w:rsidP="005353DC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Zeichnen Sie die Strukturformeln der Monomere und benennen Sie die Stoffklassen der Monomere und des Polymers.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5353DC">
        <w:rPr>
          <w:rFonts w:ascii="Arial" w:hAnsi="Arial" w:cs="Arial"/>
          <w:b/>
          <w:sz w:val="24"/>
          <w:szCs w:val="24"/>
        </w:rPr>
        <w:t>4 VP</w:t>
      </w:r>
    </w:p>
    <w:p w:rsidR="005353DC" w:rsidRDefault="005353DC" w:rsidP="00F56712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5353DC" w:rsidRDefault="005353DC" w:rsidP="005353DC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>
        <w:rPr>
          <w:rFonts w:ascii="Arial" w:hAnsi="Arial" w:cs="Arial"/>
          <w:sz w:val="24"/>
          <w:szCs w:val="24"/>
        </w:rPr>
        <w:tab/>
        <w:t xml:space="preserve">Obwohl es sich bei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 xml:space="preserve">® als auch bei PET um lineare Makromoleküle handelt, zeigen sie unterschiedliches thermisches Verhalten. PET schmilzt ab etwa 235 °C,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>® hingegen zersetzt sich ab ca. 400 °C unter Verkohlung ohne zu schmelzen.</w:t>
      </w:r>
    </w:p>
    <w:p w:rsidR="005353DC" w:rsidRDefault="005353DC" w:rsidP="005353DC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•</w:t>
      </w:r>
      <w:r>
        <w:rPr>
          <w:rFonts w:ascii="Arial" w:hAnsi="Arial" w:cs="Arial"/>
          <w:sz w:val="24"/>
          <w:szCs w:val="24"/>
        </w:rPr>
        <w:tab/>
        <w:t>Erklären Sie das unterschiedliche Verhalten beim Erwärmen.</w:t>
      </w:r>
    </w:p>
    <w:p w:rsidR="005353DC" w:rsidRDefault="005353DC" w:rsidP="005353DC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Durch Abwandlung eines Monomers von PET könnte das thermische Verhalten des Kunststoffs an das von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>® angeglichen werden.</w:t>
      </w:r>
    </w:p>
    <w:p w:rsidR="005353DC" w:rsidRDefault="005353DC" w:rsidP="005353DC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1" w:hanging="2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Geben Sie eine Strukturformel eines geeigneten Monomers an und begründen Sie Ihre Wahl.</w:t>
      </w:r>
      <w:r>
        <w:rPr>
          <w:rFonts w:ascii="Arial" w:hAnsi="Arial" w:cs="Arial"/>
          <w:sz w:val="24"/>
          <w:szCs w:val="24"/>
        </w:rPr>
        <w:tab/>
      </w:r>
      <w:r w:rsidRPr="005353DC">
        <w:rPr>
          <w:rFonts w:ascii="Arial" w:hAnsi="Arial" w:cs="Arial"/>
          <w:b/>
          <w:sz w:val="24"/>
          <w:szCs w:val="24"/>
        </w:rPr>
        <w:t xml:space="preserve">  5 VP</w:t>
      </w:r>
    </w:p>
    <w:p w:rsidR="005353DC" w:rsidRDefault="005353DC" w:rsidP="005353DC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5353DC" w:rsidRDefault="0076713B" w:rsidP="0076713B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>
        <w:rPr>
          <w:rFonts w:ascii="Arial" w:hAnsi="Arial" w:cs="Arial"/>
          <w:sz w:val="24"/>
          <w:szCs w:val="24"/>
        </w:rPr>
        <w:tab/>
        <w:t>Moderne Kunststoffe sollen nach Möglichkeit wiederverwertbar sein.</w:t>
      </w:r>
    </w:p>
    <w:p w:rsidR="0076713B" w:rsidRPr="0076713B" w:rsidRDefault="0076713B" w:rsidP="0076713B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Beschreiben Sie für </w:t>
      </w:r>
      <w:r w:rsidRPr="005353DC">
        <w:rPr>
          <w:rFonts w:ascii="Arial" w:hAnsi="Arial" w:cs="Arial"/>
          <w:smallCaps/>
          <w:sz w:val="24"/>
          <w:szCs w:val="24"/>
        </w:rPr>
        <w:t>Nomex</w:t>
      </w:r>
      <w:r>
        <w:rPr>
          <w:rFonts w:ascii="Arial" w:hAnsi="Arial" w:cs="Arial"/>
          <w:sz w:val="24"/>
          <w:szCs w:val="24"/>
        </w:rPr>
        <w:t>® und PET zwei unterschiedliche Verwertungs-verfahren.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76713B">
        <w:rPr>
          <w:rFonts w:ascii="Arial" w:hAnsi="Arial" w:cs="Arial"/>
          <w:b/>
          <w:sz w:val="24"/>
          <w:szCs w:val="24"/>
        </w:rPr>
        <w:t>3 VP</w:t>
      </w:r>
    </w:p>
    <w:p w:rsidR="0076713B" w:rsidRDefault="0076713B" w:rsidP="0076713B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76713B" w:rsidRDefault="0076713B" w:rsidP="0076713B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>
        <w:rPr>
          <w:rFonts w:ascii="Arial" w:hAnsi="Arial" w:cs="Arial"/>
          <w:sz w:val="24"/>
          <w:szCs w:val="24"/>
        </w:rPr>
        <w:tab/>
        <w:t>Die Salze der Phthalsäure werden Phthalate genannt. Kaliumhydrogenphthalat findet zum Beispiel Verwendung in Pufferlösungen.</w:t>
      </w:r>
    </w:p>
    <w:p w:rsidR="0076713B" w:rsidRDefault="0076713B" w:rsidP="0076713B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6270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14775" cy="1952625"/>
            <wp:effectExtent l="19050" t="0" r="952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04" w:rsidRDefault="00645404" w:rsidP="00645404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ind w:left="851" w:hanging="2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Erläutern Sie anhand der Molekülstruktur, dass Kaliumhydrogenphthalat zur Herstellung von Pufferlösung geeignet ist.</w:t>
      </w:r>
    </w:p>
    <w:p w:rsidR="00645404" w:rsidRDefault="00645404" w:rsidP="00645404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1" w:hanging="2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Berechnen Sie die Stoffmengenkonzentration </w:t>
      </w:r>
      <w:r w:rsidRPr="00645404">
        <w:rPr>
          <w:rFonts w:ascii="Arial" w:hAnsi="Arial" w:cs="Arial"/>
          <w:i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einer Lösung, bei der ein Liter Lösung 50 g Kaliumhydrogenphthalat enthält.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645404">
        <w:rPr>
          <w:rFonts w:ascii="Arial" w:hAnsi="Arial" w:cs="Arial"/>
          <w:b/>
          <w:sz w:val="24"/>
          <w:szCs w:val="24"/>
        </w:rPr>
        <w:t>5 VP</w:t>
      </w:r>
    </w:p>
    <w:p w:rsidR="00645404" w:rsidRPr="00645404" w:rsidRDefault="00645404" w:rsidP="00645404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45404">
        <w:rPr>
          <w:rFonts w:ascii="Arial" w:hAnsi="Arial" w:cs="Arial"/>
          <w:b/>
          <w:sz w:val="24"/>
          <w:szCs w:val="24"/>
        </w:rPr>
        <w:t>_____</w:t>
      </w:r>
    </w:p>
    <w:p w:rsidR="00645404" w:rsidRPr="00645404" w:rsidRDefault="00645404" w:rsidP="00645404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45404">
        <w:rPr>
          <w:rFonts w:ascii="Arial" w:hAnsi="Arial" w:cs="Arial"/>
          <w:b/>
          <w:sz w:val="24"/>
          <w:szCs w:val="24"/>
        </w:rPr>
        <w:t>20 VP</w:t>
      </w:r>
    </w:p>
    <w:p w:rsidR="004A5E00" w:rsidRDefault="004A5E00" w:rsidP="00645404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  <w:sectPr w:rsidR="004A5E00" w:rsidSect="008F6518">
          <w:headerReference w:type="default" r:id="rId16"/>
          <w:pgSz w:w="11906" w:h="16838"/>
          <w:pgMar w:top="1701" w:right="1418" w:bottom="1134" w:left="1418" w:header="567" w:footer="567" w:gutter="0"/>
          <w:cols w:space="720"/>
        </w:sectPr>
      </w:pPr>
    </w:p>
    <w:p w:rsidR="004A5E00" w:rsidRPr="003F4E49" w:rsidRDefault="004A5E00" w:rsidP="004A5E00">
      <w:pPr>
        <w:tabs>
          <w:tab w:val="left" w:pos="9072"/>
        </w:tabs>
        <w:rPr>
          <w:rFonts w:ascii="Arial" w:hAnsi="Arial" w:cs="Arial"/>
          <w:b/>
          <w:sz w:val="28"/>
          <w:szCs w:val="28"/>
        </w:rPr>
      </w:pPr>
      <w:r w:rsidRPr="003F4E49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>
        <w:rPr>
          <w:rFonts w:ascii="Arial" w:hAnsi="Arial" w:cs="Arial"/>
          <w:b/>
          <w:sz w:val="28"/>
          <w:szCs w:val="28"/>
        </w:rPr>
        <w:t>4</w:t>
      </w:r>
    </w:p>
    <w:p w:rsidR="00645404" w:rsidRDefault="00645404" w:rsidP="00645404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4A5E00" w:rsidRDefault="004A5E00" w:rsidP="004A5E00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ab/>
        <w:t>Umweltfreundliche, elektrisch betriebene Automobile gewinnen zunehmend Marktanteile. In diesem Zusammenhang werden geeignete Akkumulatoren, vorwiegend auf Lithiumbasis, ständig weiter entwickelt.</w:t>
      </w:r>
    </w:p>
    <w:p w:rsidR="004A5E00" w:rsidRDefault="004A5E00" w:rsidP="004A5E00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Lithium kommt in der Natur nur in Verbindungen vor. Elementares Lithium wird durch Elektrolyse einer Schmelze von Lithiumchlorid, dem zur Senkung der Schmelztemperatur Kaliumchlorid beigemengt wurde, bei etwa 360 °C hergestellt.</w:t>
      </w:r>
    </w:p>
    <w:p w:rsidR="004A5E00" w:rsidRDefault="004A5E00" w:rsidP="004A5E00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1" w:hanging="2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Zeichnen Sie eine beschriftete Skizze einer Elektrolysezelle zur Herstellung von Lithium aus einer Lithiumchloridschmelze.</w:t>
      </w:r>
    </w:p>
    <w:p w:rsidR="004A5E00" w:rsidRDefault="004A5E00" w:rsidP="004A5E00">
      <w:pPr>
        <w:tabs>
          <w:tab w:val="left" w:pos="567"/>
          <w:tab w:val="left" w:pos="851"/>
          <w:tab w:val="left" w:pos="8222"/>
          <w:tab w:val="left" w:pos="9072"/>
        </w:tabs>
        <w:ind w:left="851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Geben Sie Reaktionsgleichungen für die Elektrodenreaktionen und für die Gesamtreaktion ein.</w:t>
      </w:r>
    </w:p>
    <w:p w:rsidR="004A5E00" w:rsidRDefault="004A5E00" w:rsidP="004A5E00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7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Begründen Sie mit Hilfe der Standardelektrodenpotenziale, welchen Vorteil Lithium für den Einsatz in Batterien und Akkumulatoren bietet.</w:t>
      </w:r>
    </w:p>
    <w:p w:rsidR="004A5E00" w:rsidRDefault="004A5E00" w:rsidP="004A5E00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7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Erklären Sie anhand je eines selbst gewählten Beispiels den wesentlichen Unterschied zwischen einer Batterie und einem Akkumulator.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4A5E00">
        <w:rPr>
          <w:rFonts w:ascii="Arial" w:hAnsi="Arial" w:cs="Arial"/>
          <w:b/>
          <w:sz w:val="24"/>
          <w:szCs w:val="24"/>
        </w:rPr>
        <w:t>8 VP</w:t>
      </w:r>
    </w:p>
    <w:p w:rsidR="004A5E00" w:rsidRDefault="004A5E00" w:rsidP="004A5E0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4A5E00" w:rsidRDefault="004A5E00" w:rsidP="004A5E00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ab/>
        <w:t>Moderne Lithiumakkumulatoren arbeiten mit einer Polymermembran, in der ein Lithiumsalz gelöst ist. Diese Membran dient als Elektrolyt zwischen</w:t>
      </w:r>
      <w:r w:rsidR="00AF70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Pluspol und Minuspol.</w:t>
      </w:r>
    </w:p>
    <w:p w:rsidR="004A5E00" w:rsidRDefault="004A5E00" w:rsidP="004A5E00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Ein Formelausschnitt des Polymermoleküls ist in der folgenden Abbildung dargestellt:</w:t>
      </w:r>
    </w:p>
    <w:p w:rsidR="004A5E00" w:rsidRDefault="009E4205" w:rsidP="004A5E00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6270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14925" cy="1085850"/>
            <wp:effectExtent l="1905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05" w:rsidRDefault="009E4205" w:rsidP="009E4205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ind w:left="851" w:hanging="2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Zeichnen Sie die Strukturformeln der beiden unterschiedlichen Monomere mit allen bindenden und nichtbindenden Elektronenpaaren und benennen Sie die Ausgangsstoffe.</w:t>
      </w:r>
    </w:p>
    <w:p w:rsidR="009E4205" w:rsidRPr="009E4205" w:rsidRDefault="009E4205" w:rsidP="009E4205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1" w:hanging="27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Geben Sie den Reaktionstyp der Polyreaktion an und formulieren Sie einen Reaktionsmechanismus.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9E4205">
        <w:rPr>
          <w:rFonts w:ascii="Arial" w:hAnsi="Arial" w:cs="Arial"/>
          <w:b/>
          <w:sz w:val="24"/>
          <w:szCs w:val="24"/>
        </w:rPr>
        <w:t>6 VP</w:t>
      </w:r>
    </w:p>
    <w:p w:rsidR="009E4205" w:rsidRDefault="009E4205" w:rsidP="009E4205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p w:rsidR="009E4205" w:rsidRPr="009E4205" w:rsidRDefault="009E4205" w:rsidP="009E420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  <w:t xml:space="preserve">Neuerdings wird für eine umweltfreundliche, ausschließlich mittels „Wasserenergie“ betriebene Uhr geworben, die sogenannte </w:t>
      </w:r>
      <w:r w:rsidRPr="009E4205">
        <w:rPr>
          <w:rFonts w:ascii="Arial" w:hAnsi="Arial" w:cs="Arial"/>
          <w:i/>
          <w:sz w:val="24"/>
          <w:szCs w:val="24"/>
        </w:rPr>
        <w:t>water powered clock.</w:t>
      </w:r>
    </w:p>
    <w:p w:rsidR="009E4205" w:rsidRDefault="009E4205" w:rsidP="009E420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Zur Bedienung und Funktionsweise der Uhr gibt der Hersteller folgende Angaben:</w:t>
      </w:r>
    </w:p>
    <w:p w:rsidR="009E4205" w:rsidRDefault="009E4205" w:rsidP="009E420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</w:p>
    <w:p w:rsidR="009E4205" w:rsidRDefault="009E4205" w:rsidP="009E42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851"/>
          <w:tab w:val="left" w:pos="8222"/>
          <w:tab w:val="left" w:pos="9072"/>
        </w:tabs>
        <w:ind w:left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„Das erforderliche Wasser wird über einen Einfüllstutzen an der Oberseite der Uhr eingefüllt, dabei darf der Tank nur maximal zwei Drittel gefüllt werden.</w:t>
      </w:r>
    </w:p>
    <w:p w:rsidR="009E4205" w:rsidRDefault="009E4205" w:rsidP="009E42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851"/>
          <w:tab w:val="left" w:pos="8222"/>
          <w:tab w:val="left" w:pos="9072"/>
        </w:tabs>
        <w:ind w:left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Die Energie einer Tankfüllung reicht ungefähr zwei Wochen, dann muss das Wasser erneuert werden.</w:t>
      </w:r>
    </w:p>
    <w:p w:rsidR="009E4205" w:rsidRDefault="009E4205" w:rsidP="009E42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851"/>
          <w:tab w:val="left" w:pos="8222"/>
          <w:tab w:val="left" w:pos="9072"/>
        </w:tabs>
        <w:ind w:left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Als zusätzlicher Treibstoff wird eine Prise Kochsalz ins Wasser gegeben.</w:t>
      </w:r>
    </w:p>
    <w:p w:rsidR="009E4205" w:rsidRDefault="009E4205" w:rsidP="009E420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851"/>
          <w:tab w:val="left" w:pos="8222"/>
          <w:tab w:val="left" w:pos="9072"/>
        </w:tabs>
        <w:ind w:left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Das Uhrwerk zieht die Energie über Zink- und Kupferelektroden, die in den Wassertank reichen, aus dem Salzwasser.“</w:t>
      </w:r>
    </w:p>
    <w:p w:rsidR="009E4205" w:rsidRDefault="00D34140" w:rsidP="00D34140">
      <w:pPr>
        <w:tabs>
          <w:tab w:val="left" w:pos="567"/>
          <w:tab w:val="left" w:pos="851"/>
          <w:tab w:val="left" w:pos="8222"/>
          <w:tab w:val="left" w:pos="9072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Zur Überprüfung der Herstellerangaben wird der abgebildete Modellversuch durchgeführt:</w:t>
      </w:r>
    </w:p>
    <w:p w:rsidR="00D34140" w:rsidRDefault="0016270B" w:rsidP="00D34140">
      <w:pPr>
        <w:tabs>
          <w:tab w:val="left" w:pos="567"/>
          <w:tab w:val="left" w:pos="851"/>
          <w:tab w:val="left" w:pos="8222"/>
          <w:tab w:val="left" w:pos="9072"/>
        </w:tabs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62500" cy="2752725"/>
            <wp:effectExtent l="1905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40" w:rsidRDefault="00D34140" w:rsidP="00D34140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Bereits nach kurzer Zeit tritt im oberen Bereich der Kochsalzlösung um den Kupferstab eine Rotviolettfärbung auf.</w:t>
      </w:r>
    </w:p>
    <w:p w:rsidR="00D34140" w:rsidRDefault="00D34140" w:rsidP="00D34140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left="851" w:hanging="2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Werten Sie die Beobachtung aus dem Modellversuch aus und erklären Sie mit Hilfe der experimentell gewonnenen Erkenntnisse die wirkliche Funktionsweise der Uhr.</w:t>
      </w:r>
    </w:p>
    <w:p w:rsidR="00D34140" w:rsidRDefault="00E41539" w:rsidP="00E41539">
      <w:pPr>
        <w:tabs>
          <w:tab w:val="left" w:pos="567"/>
          <w:tab w:val="left" w:pos="851"/>
          <w:tab w:val="left" w:pos="8222"/>
          <w:tab w:val="left" w:pos="9072"/>
        </w:tabs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34140">
        <w:rPr>
          <w:rFonts w:ascii="Arial" w:hAnsi="Arial" w:cs="Arial"/>
          <w:sz w:val="24"/>
          <w:szCs w:val="24"/>
        </w:rPr>
        <w:t>Formulieren Sie die entsprechenden Reaktionsgleichungen.</w:t>
      </w:r>
    </w:p>
    <w:p w:rsidR="00D34140" w:rsidRPr="00E41539" w:rsidRDefault="00D34140" w:rsidP="00E41539">
      <w:pPr>
        <w:numPr>
          <w:ilvl w:val="0"/>
          <w:numId w:val="4"/>
        </w:numPr>
        <w:tabs>
          <w:tab w:val="left" w:pos="567"/>
          <w:tab w:val="left" w:pos="851"/>
          <w:tab w:val="left" w:pos="8222"/>
          <w:tab w:val="left" w:pos="9072"/>
        </w:tabs>
        <w:spacing w:before="120"/>
        <w:ind w:hanging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Vergleichen Sie Ihre Ergebnisse mit den Aussagen des Herstellers.</w:t>
      </w:r>
      <w:r>
        <w:rPr>
          <w:rFonts w:ascii="Arial" w:hAnsi="Arial" w:cs="Arial"/>
          <w:sz w:val="24"/>
          <w:szCs w:val="24"/>
        </w:rPr>
        <w:tab/>
      </w:r>
      <w:r w:rsidRPr="00E41539">
        <w:rPr>
          <w:rFonts w:ascii="Arial" w:hAnsi="Arial" w:cs="Arial"/>
          <w:b/>
          <w:sz w:val="24"/>
          <w:szCs w:val="24"/>
        </w:rPr>
        <w:t xml:space="preserve">  6 VP</w:t>
      </w:r>
    </w:p>
    <w:p w:rsidR="00D34140" w:rsidRPr="00E41539" w:rsidRDefault="00D34140" w:rsidP="00D3414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41539">
        <w:rPr>
          <w:rFonts w:ascii="Arial" w:hAnsi="Arial" w:cs="Arial"/>
          <w:b/>
          <w:sz w:val="24"/>
          <w:szCs w:val="24"/>
        </w:rPr>
        <w:t>_____</w:t>
      </w:r>
    </w:p>
    <w:p w:rsidR="00D34140" w:rsidRPr="00E41539" w:rsidRDefault="00D34140" w:rsidP="00D3414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b/>
          <w:sz w:val="24"/>
          <w:szCs w:val="24"/>
        </w:rPr>
      </w:pPr>
      <w:r w:rsidRPr="00E41539">
        <w:rPr>
          <w:rFonts w:ascii="Arial" w:hAnsi="Arial" w:cs="Arial"/>
          <w:b/>
          <w:sz w:val="24"/>
          <w:szCs w:val="24"/>
        </w:rPr>
        <w:tab/>
      </w:r>
      <w:r w:rsidRPr="00E41539">
        <w:rPr>
          <w:rFonts w:ascii="Arial" w:hAnsi="Arial" w:cs="Arial"/>
          <w:b/>
          <w:sz w:val="24"/>
          <w:szCs w:val="24"/>
        </w:rPr>
        <w:tab/>
      </w:r>
      <w:r w:rsidRPr="00E41539">
        <w:rPr>
          <w:rFonts w:ascii="Arial" w:hAnsi="Arial" w:cs="Arial"/>
          <w:b/>
          <w:sz w:val="24"/>
          <w:szCs w:val="24"/>
        </w:rPr>
        <w:tab/>
        <w:t>20 VP</w:t>
      </w:r>
    </w:p>
    <w:p w:rsidR="00E41539" w:rsidRDefault="00E41539" w:rsidP="00D3414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  <w:sectPr w:rsidR="00E41539" w:rsidSect="008F6518">
          <w:headerReference w:type="default" r:id="rId19"/>
          <w:pgSz w:w="11906" w:h="16838"/>
          <w:pgMar w:top="1701" w:right="1418" w:bottom="1134" w:left="1418" w:header="567" w:footer="567" w:gutter="0"/>
          <w:cols w:space="720"/>
        </w:sectPr>
      </w:pPr>
    </w:p>
    <w:p w:rsidR="00D34140" w:rsidRDefault="0016270B" w:rsidP="00D34140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677150"/>
            <wp:effectExtent l="19050" t="0" r="0" b="0"/>
            <wp:docPr id="13" name="Bild 13" descr="2009 Chemie Anl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09 Chemie Anlag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39" w:rsidRDefault="00E41539" w:rsidP="00D3414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  <w:sectPr w:rsidR="00E41539" w:rsidSect="008F6518">
          <w:headerReference w:type="default" r:id="rId21"/>
          <w:pgSz w:w="11906" w:h="16838"/>
          <w:pgMar w:top="1701" w:right="1418" w:bottom="1134" w:left="1418" w:header="567" w:footer="567" w:gutter="0"/>
          <w:cols w:space="720"/>
        </w:sectPr>
      </w:pPr>
    </w:p>
    <w:p w:rsidR="00E41539" w:rsidRDefault="0016270B" w:rsidP="00D34140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105650"/>
            <wp:effectExtent l="19050" t="0" r="0" b="0"/>
            <wp:docPr id="15" name="Bild 15" descr="2009 Chemie Anl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9 Chemie Anlag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39" w:rsidRDefault="00E41539" w:rsidP="00D3414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  <w:sectPr w:rsidR="00E41539" w:rsidSect="008F6518">
          <w:headerReference w:type="default" r:id="rId23"/>
          <w:pgSz w:w="11906" w:h="16838"/>
          <w:pgMar w:top="1701" w:right="1418" w:bottom="1134" w:left="1418" w:header="567" w:footer="567" w:gutter="0"/>
          <w:cols w:space="720"/>
        </w:sectPr>
      </w:pPr>
    </w:p>
    <w:p w:rsidR="00E41539" w:rsidRDefault="00E41539" w:rsidP="00D34140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</w:p>
    <w:p w:rsidR="00E41539" w:rsidRDefault="0016270B" w:rsidP="00D34140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53100" cy="7391400"/>
            <wp:effectExtent l="19050" t="0" r="0" b="0"/>
            <wp:docPr id="17" name="Bild 17" descr="2009 Chemie Anl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09 Chemie Anlag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39" w:rsidRDefault="00E41539" w:rsidP="00D3414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  <w:sectPr w:rsidR="00E41539" w:rsidSect="008F6518">
          <w:headerReference w:type="default" r:id="rId25"/>
          <w:pgSz w:w="11906" w:h="16838"/>
          <w:pgMar w:top="1701" w:right="1418" w:bottom="1134" w:left="1418" w:header="567" w:footer="567" w:gutter="0"/>
          <w:cols w:space="720"/>
        </w:sectPr>
      </w:pPr>
    </w:p>
    <w:p w:rsidR="00E41539" w:rsidRDefault="0016270B" w:rsidP="00D34140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91200" cy="6591300"/>
            <wp:effectExtent l="19050" t="0" r="0" b="0"/>
            <wp:docPr id="19" name="Bild 19" descr="2009 Chemie Anl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09 Chemie Anlag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39" w:rsidRPr="00D34140" w:rsidRDefault="00E41539" w:rsidP="00D34140">
      <w:pPr>
        <w:tabs>
          <w:tab w:val="left" w:pos="567"/>
          <w:tab w:val="left" w:pos="851"/>
          <w:tab w:val="left" w:pos="8222"/>
          <w:tab w:val="left" w:pos="9072"/>
        </w:tabs>
        <w:rPr>
          <w:rFonts w:ascii="Arial" w:hAnsi="Arial" w:cs="Arial"/>
          <w:sz w:val="24"/>
          <w:szCs w:val="24"/>
        </w:rPr>
      </w:pPr>
    </w:p>
    <w:sectPr w:rsidR="00E41539" w:rsidRPr="00D34140" w:rsidSect="008F6518">
      <w:headerReference w:type="default" r:id="rId27"/>
      <w:pgSz w:w="11906" w:h="16838"/>
      <w:pgMar w:top="1701" w:right="1418" w:bottom="1134" w:left="1418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13E" w:rsidRDefault="002F313E">
      <w:r>
        <w:separator/>
      </w:r>
    </w:p>
  </w:endnote>
  <w:endnote w:type="continuationSeparator" w:id="0">
    <w:p w:rsidR="002F313E" w:rsidRDefault="002F31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518" w:rsidRDefault="001D2992">
    <w:pPr>
      <w:pStyle w:val="Fuzeile"/>
      <w:jc w:val="center"/>
      <w:rPr>
        <w:sz w:val="24"/>
      </w:rPr>
    </w:pPr>
    <w:r>
      <w:rPr>
        <w:rStyle w:val="Seitenzahl"/>
        <w:sz w:val="24"/>
      </w:rPr>
      <w:fldChar w:fldCharType="begin"/>
    </w:r>
    <w:r w:rsidR="00527D3A">
      <w:rPr>
        <w:rStyle w:val="Seitenzahl"/>
        <w:sz w:val="24"/>
      </w:rPr>
      <w:instrText xml:space="preserve"> PAGE </w:instrText>
    </w:r>
    <w:r>
      <w:rPr>
        <w:rStyle w:val="Seitenzahl"/>
        <w:sz w:val="24"/>
      </w:rPr>
      <w:fldChar w:fldCharType="separate"/>
    </w:r>
    <w:r w:rsidR="0016270B">
      <w:rPr>
        <w:rStyle w:val="Seitenzahl"/>
        <w:noProof/>
        <w:sz w:val="24"/>
      </w:rPr>
      <w:t>1</w:t>
    </w:r>
    <w:r>
      <w:rPr>
        <w:rStyle w:val="Seitenzahl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13E" w:rsidRDefault="002F313E">
      <w:r>
        <w:separator/>
      </w:r>
    </w:p>
  </w:footnote>
  <w:footnote w:type="continuationSeparator" w:id="0">
    <w:p w:rsidR="002F313E" w:rsidRDefault="002F31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8F6518">
      <w:trPr>
        <w:cantSplit/>
      </w:trPr>
      <w:tc>
        <w:tcPr>
          <w:tcW w:w="993" w:type="dxa"/>
          <w:vMerge w:val="restart"/>
        </w:tcPr>
        <w:p w:rsidR="008F6518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3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8F6518" w:rsidRDefault="00527D3A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8F6518">
      <w:trPr>
        <w:cantSplit/>
      </w:trPr>
      <w:tc>
        <w:tcPr>
          <w:tcW w:w="993" w:type="dxa"/>
          <w:vMerge/>
        </w:tcPr>
        <w:p w:rsidR="008F6518" w:rsidRDefault="008F6518">
          <w:pPr>
            <w:pStyle w:val="Kopfzeile"/>
          </w:pPr>
        </w:p>
      </w:tc>
      <w:tc>
        <w:tcPr>
          <w:tcW w:w="8677" w:type="dxa"/>
        </w:tcPr>
        <w:p w:rsidR="008F6518" w:rsidRDefault="003F4E49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Aufgabe 1</w:t>
          </w:r>
        </w:p>
      </w:tc>
    </w:tr>
  </w:tbl>
  <w:p w:rsidR="008F6518" w:rsidRDefault="008F6518">
    <w:pPr>
      <w:pStyle w:val="Kopfzeile"/>
      <w:spacing w:line="120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B2268E">
      <w:trPr>
        <w:cantSplit/>
      </w:trPr>
      <w:tc>
        <w:tcPr>
          <w:tcW w:w="993" w:type="dxa"/>
          <w:vMerge w:val="restart"/>
        </w:tcPr>
        <w:p w:rsidR="00B2268E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5" name="Bild 5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B2268E" w:rsidRDefault="00B2268E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B2268E">
      <w:trPr>
        <w:cantSplit/>
      </w:trPr>
      <w:tc>
        <w:tcPr>
          <w:tcW w:w="993" w:type="dxa"/>
          <w:vMerge/>
        </w:tcPr>
        <w:p w:rsidR="00B2268E" w:rsidRDefault="00B2268E">
          <w:pPr>
            <w:pStyle w:val="Kopfzeile"/>
          </w:pPr>
        </w:p>
      </w:tc>
      <w:tc>
        <w:tcPr>
          <w:tcW w:w="8677" w:type="dxa"/>
        </w:tcPr>
        <w:p w:rsidR="00B2268E" w:rsidRDefault="00B2268E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Aufgabe 2</w:t>
          </w:r>
        </w:p>
      </w:tc>
    </w:tr>
  </w:tbl>
  <w:p w:rsidR="00B2268E" w:rsidRDefault="00B2268E">
    <w:pPr>
      <w:pStyle w:val="Kopfzeile"/>
      <w:spacing w:line="120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F56712">
      <w:trPr>
        <w:cantSplit/>
      </w:trPr>
      <w:tc>
        <w:tcPr>
          <w:tcW w:w="993" w:type="dxa"/>
          <w:vMerge w:val="restart"/>
        </w:tcPr>
        <w:p w:rsidR="00F56712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9" name="Bild 9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F56712" w:rsidRDefault="00F56712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F56712">
      <w:trPr>
        <w:cantSplit/>
      </w:trPr>
      <w:tc>
        <w:tcPr>
          <w:tcW w:w="993" w:type="dxa"/>
          <w:vMerge/>
        </w:tcPr>
        <w:p w:rsidR="00F56712" w:rsidRDefault="00F56712">
          <w:pPr>
            <w:pStyle w:val="Kopfzeile"/>
          </w:pPr>
        </w:p>
      </w:tc>
      <w:tc>
        <w:tcPr>
          <w:tcW w:w="8677" w:type="dxa"/>
        </w:tcPr>
        <w:p w:rsidR="00F56712" w:rsidRDefault="00F56712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Aufgabe 3</w:t>
          </w:r>
        </w:p>
      </w:tc>
    </w:tr>
  </w:tbl>
  <w:p w:rsidR="00F56712" w:rsidRDefault="00F56712">
    <w:pPr>
      <w:pStyle w:val="Kopfzeile"/>
      <w:spacing w:line="120" w:lineRule="exac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4A5E00">
      <w:trPr>
        <w:cantSplit/>
      </w:trPr>
      <w:tc>
        <w:tcPr>
          <w:tcW w:w="993" w:type="dxa"/>
          <w:vMerge w:val="restart"/>
        </w:tcPr>
        <w:p w:rsidR="004A5E00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2" name="Bild 12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4A5E00" w:rsidRDefault="004A5E00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4A5E00">
      <w:trPr>
        <w:cantSplit/>
      </w:trPr>
      <w:tc>
        <w:tcPr>
          <w:tcW w:w="993" w:type="dxa"/>
          <w:vMerge/>
        </w:tcPr>
        <w:p w:rsidR="004A5E00" w:rsidRDefault="004A5E00">
          <w:pPr>
            <w:pStyle w:val="Kopfzeile"/>
          </w:pPr>
        </w:p>
      </w:tc>
      <w:tc>
        <w:tcPr>
          <w:tcW w:w="8677" w:type="dxa"/>
        </w:tcPr>
        <w:p w:rsidR="004A5E00" w:rsidRDefault="004A5E00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Aufgabe 4</w:t>
          </w:r>
        </w:p>
      </w:tc>
    </w:tr>
  </w:tbl>
  <w:p w:rsidR="004A5E00" w:rsidRDefault="004A5E00">
    <w:pPr>
      <w:pStyle w:val="Kopfzeile"/>
      <w:spacing w:line="120" w:lineRule="exac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E41539">
      <w:trPr>
        <w:cantSplit/>
      </w:trPr>
      <w:tc>
        <w:tcPr>
          <w:tcW w:w="993" w:type="dxa"/>
          <w:vMerge w:val="restart"/>
        </w:tcPr>
        <w:p w:rsidR="00E41539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4" name="Bild 14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E41539" w:rsidRDefault="00E41539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E41539">
      <w:trPr>
        <w:cantSplit/>
      </w:trPr>
      <w:tc>
        <w:tcPr>
          <w:tcW w:w="993" w:type="dxa"/>
          <w:vMerge/>
        </w:tcPr>
        <w:p w:rsidR="00E41539" w:rsidRDefault="00E41539">
          <w:pPr>
            <w:pStyle w:val="Kopfzeile"/>
          </w:pPr>
        </w:p>
      </w:tc>
      <w:tc>
        <w:tcPr>
          <w:tcW w:w="8677" w:type="dxa"/>
        </w:tcPr>
        <w:p w:rsidR="00E41539" w:rsidRDefault="00E41539" w:rsidP="00E41539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Anlage 1 – Periodensystem der Elemente</w:t>
          </w:r>
        </w:p>
      </w:tc>
    </w:tr>
  </w:tbl>
  <w:p w:rsidR="00E41539" w:rsidRDefault="00E41539">
    <w:pPr>
      <w:pStyle w:val="Kopfzeile"/>
      <w:spacing w:line="120" w:lineRule="exac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E41539">
      <w:trPr>
        <w:cantSplit/>
      </w:trPr>
      <w:tc>
        <w:tcPr>
          <w:tcW w:w="993" w:type="dxa"/>
          <w:vMerge w:val="restart"/>
        </w:tcPr>
        <w:p w:rsidR="00E41539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6" name="Bild 16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E41539" w:rsidRDefault="00E41539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E41539">
      <w:trPr>
        <w:cantSplit/>
      </w:trPr>
      <w:tc>
        <w:tcPr>
          <w:tcW w:w="993" w:type="dxa"/>
          <w:vMerge/>
        </w:tcPr>
        <w:p w:rsidR="00E41539" w:rsidRDefault="00E41539">
          <w:pPr>
            <w:pStyle w:val="Kopfzeile"/>
          </w:pPr>
        </w:p>
      </w:tc>
      <w:tc>
        <w:tcPr>
          <w:tcW w:w="8677" w:type="dxa"/>
        </w:tcPr>
        <w:p w:rsidR="00E41539" w:rsidRDefault="00E41539" w:rsidP="00E41539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Anlage 2 – Säurekonstanten bei 25 °C</w:t>
          </w:r>
        </w:p>
      </w:tc>
    </w:tr>
  </w:tbl>
  <w:p w:rsidR="00E41539" w:rsidRDefault="00E41539">
    <w:pPr>
      <w:pStyle w:val="Kopfzeile"/>
      <w:spacing w:line="120" w:lineRule="exac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E41539">
      <w:trPr>
        <w:cantSplit/>
      </w:trPr>
      <w:tc>
        <w:tcPr>
          <w:tcW w:w="993" w:type="dxa"/>
          <w:vMerge w:val="restart"/>
        </w:tcPr>
        <w:p w:rsidR="00E41539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8" name="Bild 18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E41539" w:rsidRDefault="00E41539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E41539">
      <w:trPr>
        <w:cantSplit/>
      </w:trPr>
      <w:tc>
        <w:tcPr>
          <w:tcW w:w="993" w:type="dxa"/>
          <w:vMerge/>
        </w:tcPr>
        <w:p w:rsidR="00E41539" w:rsidRDefault="00E41539">
          <w:pPr>
            <w:pStyle w:val="Kopfzeile"/>
          </w:pPr>
        </w:p>
      </w:tc>
      <w:tc>
        <w:tcPr>
          <w:tcW w:w="8677" w:type="dxa"/>
        </w:tcPr>
        <w:p w:rsidR="00E41539" w:rsidRDefault="00E41539" w:rsidP="00E41539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Anlage 3 – Elektrodenpotenziale bei 25 °C in wässrigen Lösungen</w:t>
          </w:r>
          <w:r w:rsidRPr="00E41539">
            <w:rPr>
              <w:rFonts w:ascii="Arial" w:hAnsi="Arial" w:cs="Arial"/>
              <w:sz w:val="24"/>
              <w:vertAlign w:val="superscript"/>
            </w:rPr>
            <w:t>*)</w:t>
          </w:r>
        </w:p>
      </w:tc>
    </w:tr>
  </w:tbl>
  <w:p w:rsidR="00E41539" w:rsidRDefault="00E41539">
    <w:pPr>
      <w:pStyle w:val="Kopfzeile"/>
      <w:spacing w:line="120" w:lineRule="exac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182"/>
    </w:tblGrid>
    <w:tr w:rsidR="00E41539">
      <w:trPr>
        <w:cantSplit/>
      </w:trPr>
      <w:tc>
        <w:tcPr>
          <w:tcW w:w="993" w:type="dxa"/>
          <w:vMerge w:val="restart"/>
        </w:tcPr>
        <w:p w:rsidR="00E41539" w:rsidRDefault="0016270B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20" name="Bild 20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E41539" w:rsidRDefault="00E41539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Abitur 2011</w:t>
          </w:r>
        </w:p>
      </w:tc>
    </w:tr>
    <w:tr w:rsidR="00E41539">
      <w:trPr>
        <w:cantSplit/>
      </w:trPr>
      <w:tc>
        <w:tcPr>
          <w:tcW w:w="993" w:type="dxa"/>
          <w:vMerge/>
        </w:tcPr>
        <w:p w:rsidR="00E41539" w:rsidRDefault="00E41539">
          <w:pPr>
            <w:pStyle w:val="Kopfzeile"/>
          </w:pPr>
        </w:p>
      </w:tc>
      <w:tc>
        <w:tcPr>
          <w:tcW w:w="8677" w:type="dxa"/>
        </w:tcPr>
        <w:p w:rsidR="00E41539" w:rsidRDefault="00E41539" w:rsidP="00E41539">
          <w:pPr>
            <w:pStyle w:val="Kopfzeile"/>
            <w:spacing w:after="120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Chemie – Anlage 4 – Thermodynamische Daten bei Standardbedingungen</w:t>
          </w:r>
        </w:p>
      </w:tc>
    </w:tr>
  </w:tbl>
  <w:p w:rsidR="00E41539" w:rsidRDefault="00E41539">
    <w:pPr>
      <w:pStyle w:val="Kopfzeile"/>
      <w:spacing w:line="12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82F0D4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54E8B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FDA713D"/>
    <w:multiLevelType w:val="hybridMultilevel"/>
    <w:tmpl w:val="F0CA0428"/>
    <w:lvl w:ilvl="0" w:tplc="F114225E">
      <w:start w:val="1"/>
      <w:numFmt w:val="bullet"/>
      <w:lvlText w:val="•"/>
      <w:lvlJc w:val="left"/>
      <w:pPr>
        <w:ind w:left="93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782C73F5"/>
    <w:multiLevelType w:val="singleLevel"/>
    <w:tmpl w:val="92A4171E"/>
    <w:lvl w:ilvl="0">
      <w:start w:val="1"/>
      <w:numFmt w:val="decimal"/>
      <w:pStyle w:val="Listennummer"/>
      <w:lvlText w:val="%1."/>
      <w:lvlJc w:val="left"/>
      <w:pPr>
        <w:tabs>
          <w:tab w:val="num" w:pos="1512"/>
        </w:tabs>
        <w:ind w:left="1512" w:hanging="432"/>
      </w:pPr>
      <w:rPr>
        <w:b/>
        <w:i w:val="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E45A1C"/>
    <w:rsid w:val="0016270B"/>
    <w:rsid w:val="001D2992"/>
    <w:rsid w:val="001D775D"/>
    <w:rsid w:val="002F313E"/>
    <w:rsid w:val="003F4E49"/>
    <w:rsid w:val="004A5E00"/>
    <w:rsid w:val="00527D3A"/>
    <w:rsid w:val="005353DC"/>
    <w:rsid w:val="00645404"/>
    <w:rsid w:val="0076713B"/>
    <w:rsid w:val="00812F6E"/>
    <w:rsid w:val="008F6518"/>
    <w:rsid w:val="009E4205"/>
    <w:rsid w:val="00AF7049"/>
    <w:rsid w:val="00B2268E"/>
    <w:rsid w:val="00B3153F"/>
    <w:rsid w:val="00B42EC4"/>
    <w:rsid w:val="00D15235"/>
    <w:rsid w:val="00D34140"/>
    <w:rsid w:val="00DD5848"/>
    <w:rsid w:val="00E41539"/>
    <w:rsid w:val="00E45A1C"/>
    <w:rsid w:val="00EF142A"/>
    <w:rsid w:val="00F5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518"/>
  </w:style>
  <w:style w:type="paragraph" w:styleId="berschrift1">
    <w:name w:val="heading 1"/>
    <w:basedOn w:val="Standard"/>
    <w:next w:val="Textkrper"/>
    <w:qFormat/>
    <w:rsid w:val="008F6518"/>
    <w:pPr>
      <w:keepNext/>
      <w:keepLines/>
      <w:spacing w:line="220" w:lineRule="atLeast"/>
      <w:outlineLvl w:val="0"/>
    </w:pPr>
    <w:rPr>
      <w:rFonts w:ascii="Arial" w:hAnsi="Arial"/>
      <w:b/>
      <w:spacing w:val="-10"/>
      <w:kern w:val="20"/>
    </w:rPr>
  </w:style>
  <w:style w:type="paragraph" w:styleId="berschrift2">
    <w:name w:val="heading 2"/>
    <w:basedOn w:val="Standard"/>
    <w:next w:val="Standard"/>
    <w:qFormat/>
    <w:rsid w:val="008F6518"/>
    <w:pPr>
      <w:keepNext/>
      <w:tabs>
        <w:tab w:val="left" w:pos="3686"/>
        <w:tab w:val="left" w:pos="5670"/>
      </w:tabs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rsid w:val="008F6518"/>
    <w:pPr>
      <w:keepNext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rsid w:val="008F6518"/>
    <w:pPr>
      <w:keepNext/>
      <w:tabs>
        <w:tab w:val="left" w:pos="9072"/>
      </w:tabs>
      <w:outlineLvl w:val="3"/>
    </w:pPr>
    <w:rPr>
      <w:rFonts w:ascii="Arial" w:hAnsi="Arial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Textkrper"/>
    <w:semiHidden/>
    <w:rsid w:val="008F6518"/>
    <w:pPr>
      <w:spacing w:before="240" w:after="240"/>
    </w:pPr>
  </w:style>
  <w:style w:type="paragraph" w:styleId="Textkrper">
    <w:name w:val="Body Text"/>
    <w:basedOn w:val="Standard"/>
    <w:semiHidden/>
    <w:rsid w:val="008F6518"/>
    <w:pPr>
      <w:spacing w:after="240" w:line="240" w:lineRule="atLeast"/>
    </w:pPr>
  </w:style>
  <w:style w:type="paragraph" w:styleId="Gruformel">
    <w:name w:val="Closing"/>
    <w:basedOn w:val="Standard"/>
    <w:next w:val="Unterschrift"/>
    <w:semiHidden/>
    <w:rsid w:val="008F6518"/>
    <w:pPr>
      <w:keepNext/>
      <w:spacing w:after="240"/>
    </w:pPr>
  </w:style>
  <w:style w:type="paragraph" w:styleId="Unterschrift">
    <w:name w:val="Signature"/>
    <w:basedOn w:val="Standard"/>
    <w:next w:val="FirmenunterschriftAbteilung"/>
    <w:semiHidden/>
    <w:rsid w:val="008F6518"/>
    <w:pPr>
      <w:keepNext/>
      <w:spacing w:before="720"/>
    </w:pPr>
  </w:style>
  <w:style w:type="paragraph" w:customStyle="1" w:styleId="Firmenname">
    <w:name w:val="Firmenname"/>
    <w:basedOn w:val="Standard"/>
    <w:next w:val="Standard"/>
    <w:rsid w:val="008F6518"/>
    <w:pPr>
      <w:framePr w:hSpace="142" w:vSpace="142" w:wrap="notBeside" w:vAnchor="page" w:hAnchor="text" w:y="1702"/>
      <w:spacing w:before="100" w:after="600" w:line="600" w:lineRule="atLeast"/>
    </w:pPr>
    <w:rPr>
      <w:spacing w:val="-34"/>
      <w:sz w:val="60"/>
    </w:rPr>
  </w:style>
  <w:style w:type="paragraph" w:styleId="Datum">
    <w:name w:val="Date"/>
    <w:basedOn w:val="Standard"/>
    <w:next w:val="Standard"/>
    <w:semiHidden/>
    <w:rsid w:val="008F6518"/>
    <w:pPr>
      <w:spacing w:after="260" w:line="220" w:lineRule="atLeast"/>
      <w:ind w:left="833" w:right="-357"/>
      <w:jc w:val="right"/>
    </w:pPr>
  </w:style>
  <w:style w:type="paragraph" w:customStyle="1" w:styleId="Absender">
    <w:name w:val="Absender"/>
    <w:basedOn w:val="Standard"/>
    <w:rsid w:val="008F6518"/>
    <w:pPr>
      <w:keepLines/>
      <w:framePr w:w="3413" w:h="1021" w:hRule="exact" w:wrap="notBeside" w:vAnchor="page" w:hAnchor="page" w:xAlign="right" w:y="959" w:anchorLock="1"/>
      <w:spacing w:line="200" w:lineRule="atLeast"/>
    </w:pPr>
    <w:rPr>
      <w:sz w:val="16"/>
    </w:rPr>
  </w:style>
  <w:style w:type="paragraph" w:customStyle="1" w:styleId="FirmenunterschriftAbteilung">
    <w:name w:val="Firmenunterschrift Abteilung"/>
    <w:basedOn w:val="Unterschrift"/>
    <w:next w:val="Standard"/>
    <w:rsid w:val="008F6518"/>
    <w:pPr>
      <w:spacing w:before="0"/>
    </w:pPr>
  </w:style>
  <w:style w:type="paragraph" w:customStyle="1" w:styleId="Slogan">
    <w:name w:val="Slogan"/>
    <w:basedOn w:val="Standard"/>
    <w:rsid w:val="008F6518"/>
    <w:pPr>
      <w:framePr w:w="5171" w:h="1191" w:hRule="exact" w:hSpace="187" w:vSpace="187" w:wrap="around" w:vAnchor="page" w:hAnchor="page" w:x="965" w:yAlign="bottom" w:anchorLock="1"/>
    </w:pPr>
    <w:rPr>
      <w:i/>
      <w:spacing w:val="-6"/>
      <w:sz w:val="24"/>
    </w:rPr>
  </w:style>
  <w:style w:type="paragraph" w:styleId="Kopfzeile">
    <w:name w:val="header"/>
    <w:basedOn w:val="Standard"/>
    <w:semiHidden/>
    <w:rsid w:val="008F6518"/>
    <w:pPr>
      <w:tabs>
        <w:tab w:val="center" w:pos="4320"/>
        <w:tab w:val="right" w:pos="8640"/>
      </w:tabs>
    </w:pPr>
    <w:rPr>
      <w:i/>
    </w:rPr>
  </w:style>
  <w:style w:type="paragraph" w:styleId="Fuzeile">
    <w:name w:val="footer"/>
    <w:basedOn w:val="Standard"/>
    <w:semiHidden/>
    <w:rsid w:val="008F6518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semiHidden/>
    <w:rsid w:val="008F6518"/>
  </w:style>
  <w:style w:type="paragraph" w:customStyle="1" w:styleId="Briefkopfadresse">
    <w:name w:val="Briefkopfadresse"/>
    <w:basedOn w:val="Standard"/>
    <w:next w:val="Bezugszeichenzeile"/>
    <w:rsid w:val="008F6518"/>
    <w:pPr>
      <w:framePr w:wrap="notBeside" w:vAnchor="page" w:hAnchor="text" w:y="3369"/>
    </w:pPr>
  </w:style>
  <w:style w:type="paragraph" w:customStyle="1" w:styleId="Bezugszeichenzeile">
    <w:name w:val="Bezugszeichenzeile"/>
    <w:basedOn w:val="Standard"/>
    <w:next w:val="Bezugszeichentext"/>
    <w:rsid w:val="008F6518"/>
    <w:pPr>
      <w:framePr w:wrap="notBeside" w:vAnchor="page" w:hAnchor="text" w:y="5524"/>
      <w:tabs>
        <w:tab w:val="left" w:pos="2835"/>
        <w:tab w:val="left" w:pos="5783"/>
        <w:tab w:val="left" w:pos="8080"/>
      </w:tabs>
    </w:pPr>
    <w:rPr>
      <w:sz w:val="16"/>
    </w:rPr>
  </w:style>
  <w:style w:type="paragraph" w:customStyle="1" w:styleId="Bezugszeichentext">
    <w:name w:val="Bezugszeichentext"/>
    <w:basedOn w:val="Bezugszeichenzeile"/>
    <w:next w:val="Betreffzeile"/>
    <w:rsid w:val="008F6518"/>
    <w:pPr>
      <w:framePr w:hSpace="142" w:vSpace="142" w:wrap="notBeside" w:y="5762"/>
      <w:ind w:right="-964"/>
    </w:pPr>
    <w:rPr>
      <w:noProof/>
      <w:sz w:val="20"/>
    </w:rPr>
  </w:style>
  <w:style w:type="paragraph" w:customStyle="1" w:styleId="Betreffzeile">
    <w:name w:val="Betreffzeile"/>
    <w:basedOn w:val="Standard"/>
    <w:next w:val="Anrede"/>
    <w:rsid w:val="008F6518"/>
    <w:pPr>
      <w:framePr w:wrap="notBeside" w:vAnchor="page" w:hAnchor="text" w:y="6482"/>
      <w:spacing w:after="240"/>
    </w:pPr>
    <w:rPr>
      <w:b/>
    </w:rPr>
  </w:style>
  <w:style w:type="paragraph" w:customStyle="1" w:styleId="Firmenunterschrift">
    <w:name w:val="Firmenunterschrift"/>
    <w:basedOn w:val="Unterschrift"/>
    <w:next w:val="Standard"/>
    <w:rsid w:val="008F6518"/>
    <w:pPr>
      <w:spacing w:before="0"/>
    </w:pPr>
  </w:style>
  <w:style w:type="paragraph" w:styleId="Listennummer">
    <w:name w:val="List Number"/>
    <w:basedOn w:val="Liste"/>
    <w:semiHidden/>
    <w:rsid w:val="008F6518"/>
    <w:pPr>
      <w:numPr>
        <w:numId w:val="3"/>
      </w:numPr>
      <w:spacing w:after="240" w:line="220" w:lineRule="atLeast"/>
    </w:pPr>
  </w:style>
  <w:style w:type="paragraph" w:styleId="Liste">
    <w:name w:val="List"/>
    <w:basedOn w:val="Standard"/>
    <w:semiHidden/>
    <w:rsid w:val="008F6518"/>
    <w:pPr>
      <w:ind w:left="283" w:hanging="283"/>
    </w:pPr>
  </w:style>
  <w:style w:type="paragraph" w:customStyle="1" w:styleId="Anlage">
    <w:name w:val="Anlage"/>
    <w:basedOn w:val="Textkrper"/>
    <w:next w:val="Standard"/>
    <w:rsid w:val="008F6518"/>
    <w:pPr>
      <w:keepNext/>
      <w:keepLines/>
      <w:spacing w:before="240" w:after="0"/>
    </w:pPr>
  </w:style>
  <w:style w:type="paragraph" w:customStyle="1" w:styleId="Briefkopf">
    <w:name w:val="Briefkopf"/>
    <w:basedOn w:val="Kopfzeile"/>
    <w:rsid w:val="008F6518"/>
    <w:pPr>
      <w:framePr w:h="5914" w:hRule="exact" w:hSpace="142" w:vSpace="142" w:wrap="notBeside" w:vAnchor="page" w:hAnchor="margin" w:y="1"/>
      <w:jc w:val="both"/>
    </w:pPr>
    <w:rPr>
      <w:rFonts w:ascii="Garamond" w:hAnsi="Garamond"/>
      <w:i w:val="0"/>
      <w:kern w:val="18"/>
    </w:rPr>
  </w:style>
  <w:style w:type="paragraph" w:customStyle="1" w:styleId="AbsenderimKuvertfenster">
    <w:name w:val="Absender im Kuvertfenster"/>
    <w:basedOn w:val="Briefkopfadresse"/>
    <w:next w:val="Versandanweisungen"/>
    <w:rsid w:val="008F6518"/>
    <w:pPr>
      <w:framePr w:wrap="notBeside" w:y="2881"/>
    </w:pPr>
    <w:rPr>
      <w:sz w:val="16"/>
      <w:u w:val="single"/>
    </w:rPr>
  </w:style>
  <w:style w:type="paragraph" w:customStyle="1" w:styleId="Versandanweisungen">
    <w:name w:val="Versandanweisungen"/>
    <w:basedOn w:val="Briefkopfadresse"/>
    <w:next w:val="Briefkopfadresse"/>
    <w:rsid w:val="008F6518"/>
    <w:pPr>
      <w:framePr w:hSpace="142" w:vSpace="142" w:wrap="notBeside" w:y="3125"/>
    </w:pPr>
  </w:style>
  <w:style w:type="paragraph" w:customStyle="1" w:styleId="CcListe">
    <w:name w:val="Cc Liste"/>
    <w:basedOn w:val="Standard"/>
    <w:rsid w:val="008F6518"/>
    <w:pPr>
      <w:tabs>
        <w:tab w:val="left" w:pos="1134"/>
      </w:tabs>
    </w:pPr>
  </w:style>
  <w:style w:type="paragraph" w:styleId="Titel">
    <w:name w:val="Title"/>
    <w:basedOn w:val="Standard"/>
    <w:qFormat/>
    <w:rsid w:val="008F6518"/>
    <w:pPr>
      <w:jc w:val="center"/>
    </w:pPr>
    <w:rPr>
      <w:b/>
      <w:sz w:val="32"/>
    </w:rPr>
  </w:style>
  <w:style w:type="paragraph" w:styleId="Textkrper2">
    <w:name w:val="Body Text 2"/>
    <w:basedOn w:val="Standard"/>
    <w:semiHidden/>
    <w:rsid w:val="008F6518"/>
    <w:pPr>
      <w:autoSpaceDE w:val="0"/>
      <w:autoSpaceDN w:val="0"/>
      <w:adjustRightInd w:val="0"/>
      <w:jc w:val="both"/>
    </w:pPr>
    <w:rPr>
      <w:sz w:val="32"/>
    </w:rPr>
  </w:style>
  <w:style w:type="paragraph" w:styleId="Textkrper3">
    <w:name w:val="Body Text 3"/>
    <w:basedOn w:val="Standard"/>
    <w:semiHidden/>
    <w:rsid w:val="008F6518"/>
    <w:pPr>
      <w:autoSpaceDE w:val="0"/>
      <w:autoSpaceDN w:val="0"/>
      <w:adjustRightInd w:val="0"/>
      <w:jc w:val="both"/>
    </w:pPr>
    <w:rPr>
      <w:sz w:val="28"/>
    </w:rPr>
  </w:style>
  <w:style w:type="paragraph" w:styleId="NurText">
    <w:name w:val="Plain Text"/>
    <w:basedOn w:val="Standard"/>
    <w:semiHidden/>
    <w:rsid w:val="008F6518"/>
    <w:rPr>
      <w:rFonts w:ascii="Courier New" w:hAnsi="Courier New"/>
    </w:rPr>
  </w:style>
  <w:style w:type="paragraph" w:styleId="Textkrper-Zeileneinzug">
    <w:name w:val="Body Text Indent"/>
    <w:basedOn w:val="Standard"/>
    <w:semiHidden/>
    <w:rsid w:val="008F6518"/>
    <w:pPr>
      <w:tabs>
        <w:tab w:val="left" w:pos="709"/>
        <w:tab w:val="left" w:pos="9072"/>
      </w:tabs>
      <w:ind w:left="567" w:hanging="567"/>
      <w:jc w:val="both"/>
    </w:pPr>
    <w:rPr>
      <w:rFonts w:ascii="Arial" w:hAnsi="Arial"/>
      <w:sz w:val="22"/>
    </w:rPr>
  </w:style>
  <w:style w:type="paragraph" w:styleId="Textkrper-Einzug2">
    <w:name w:val="Body Text Indent 2"/>
    <w:basedOn w:val="Standard"/>
    <w:semiHidden/>
    <w:rsid w:val="008F6518"/>
    <w:pPr>
      <w:tabs>
        <w:tab w:val="left" w:pos="851"/>
        <w:tab w:val="left" w:pos="9072"/>
      </w:tabs>
      <w:ind w:left="567" w:hanging="567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image" Target="media/image8.emf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1268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Gemmel/Dettmann</dc:creator>
  <cp:lastModifiedBy>Besitzer</cp:lastModifiedBy>
  <cp:revision>2</cp:revision>
  <cp:lastPrinted>2000-05-25T12:41:00Z</cp:lastPrinted>
  <dcterms:created xsi:type="dcterms:W3CDTF">2011-11-03T16:00:00Z</dcterms:created>
  <dcterms:modified xsi:type="dcterms:W3CDTF">2011-11-03T16:00:00Z</dcterms:modified>
</cp:coreProperties>
</file>