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819" w:rsidRDefault="006A6819">
      <w:pPr>
        <w:pStyle w:val="berschrift5"/>
      </w:pPr>
      <w:bookmarkStart w:id="0" w:name="_GoBack"/>
      <w:bookmarkEnd w:id="0"/>
      <w:r>
        <w:t>Aufgabe 1</w:t>
      </w:r>
    </w:p>
    <w:p w:rsidR="006A6819" w:rsidRDefault="006A6819">
      <w:pPr>
        <w:tabs>
          <w:tab w:val="left" w:pos="9072"/>
        </w:tabs>
        <w:rPr>
          <w:b/>
          <w:bCs/>
          <w:sz w:val="28"/>
        </w:rPr>
      </w:pPr>
    </w:p>
    <w:p w:rsidR="006A6819" w:rsidRDefault="006A6819">
      <w:pPr>
        <w:pStyle w:val="Textkrper-Einzug3"/>
      </w:pPr>
      <w:r>
        <w:t>1</w:t>
      </w:r>
      <w:r>
        <w:tab/>
        <w:t>Hydrazin ist eine Stickstoffverbindung mit der Summenformel N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4</w:t>
      </w:r>
      <w:r>
        <w:t>. Es ist eine farblose, ölige, nach Ammoniak riechende Flüssigkeit.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Zeichnen Sie die Strukturformel mit bindenden und nichtbindenden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Elektronenpaaren.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Treffen Sie eine begründete Aussage hinsichtlich der Löslichkeit von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Hydrazin in Wasser.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Hydrazin reagiert mit Wasser ähnlich wie Ammoniak.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Formulieren Sie die Reaktionsgleichung der Reaktion von Hydrazin mit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Wasser und nennen Sie den Reaktionstyp.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Ermitteln Sie den p</w:t>
      </w:r>
      <w:r>
        <w:rPr>
          <w:i/>
          <w:iCs/>
          <w:sz w:val="28"/>
        </w:rPr>
        <w:t>K</w:t>
      </w:r>
      <w:r>
        <w:rPr>
          <w:sz w:val="28"/>
          <w:vertAlign w:val="subscript"/>
        </w:rPr>
        <w:t>B</w:t>
      </w:r>
      <w:r>
        <w:rPr>
          <w:sz w:val="28"/>
        </w:rPr>
        <w:t>-Wert von Ammoniak und vergleichen Sie die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Basenstärke mit der von Hydrazin (p</w:t>
      </w:r>
      <w:r>
        <w:rPr>
          <w:i/>
          <w:iCs/>
          <w:sz w:val="28"/>
        </w:rPr>
        <w:t>K</w:t>
      </w:r>
      <w:r>
        <w:rPr>
          <w:sz w:val="28"/>
          <w:vertAlign w:val="subscript"/>
        </w:rPr>
        <w:t>B</w:t>
      </w:r>
      <w:r>
        <w:rPr>
          <w:sz w:val="28"/>
        </w:rPr>
        <w:t xml:space="preserve"> = 6,07).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Begründen Sie den Unterschied.</w:t>
      </w:r>
      <w:r>
        <w:rPr>
          <w:sz w:val="28"/>
        </w:rPr>
        <w:tab/>
        <w:t xml:space="preserve">  7 VP</w:t>
      </w:r>
    </w:p>
    <w:p w:rsidR="006A6819" w:rsidRDefault="004A22B5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169545</wp:posOffset>
                </wp:positionV>
                <wp:extent cx="3543300" cy="1371600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Im Labor kann Hydrazin durch Einleiten von Chlor in Harnstofflösung und Zugabe von Natronlauge hergestellt werden. </w:t>
                            </w:r>
                          </w:p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Neben Hydrazin entstehen dabei Dinatrium-carbonat, Natriumchlorid und Wasser.</w:t>
                            </w:r>
                          </w:p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15pt;margin-top:13.35pt;width:279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K+tQIAALs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yiNoCz16ZINBd3JAE1uevtMJeD104GcGOIY2O6q6u5fFV42EXNVUbNmtUrKvGS0hvdDe9M+u&#10;jjjagmz6D7KEMHRnpAMaKtXa2kE1EKBDHk+n1thUCjicTMlkEoCpAFs4mYcz2NgYNDle75Q275hs&#10;kV2kWEHvHTzd32szuh5dbDQhc940cE6TRlwcAOZ4AsHhqrXZNFw7f8RBvF6sF8Qj0WztkSDLvNt8&#10;RbxZHs6n2SRbrbLwp40bkqTmZcmEDXOUVkj+rHUHkY+iOIlLy4aXFs6mpNV2s2oU2lOQdu6+Q0HO&#10;3PzLNFy9gMsLSmFEgrso9vLZYu6RnEy9eB4svCCM7+JZQGKS5ZeU7rlg/04J9SmOp9F0VNNvuQXu&#10;e82NJi03MDwa3qZ4cXKiidXgWpSutYbyZlyflcKm/1wKaPex0U6xVqSjXM2wGQDFyngjyyfQrpKg&#10;LFAhTDxY1FJ9x6iH6ZFi/W1HFcOoeS9A/3FICLgZtyHTuX1c6tyyObdQUQBUig1G43JlxhG16xTf&#10;1hBpfHFC3sKbqbhT83NWh5cGE8KROkwzO4LO987reeYufwEAAP//AwBQSwMEFAAGAAgAAAAhAFLh&#10;O3LdAAAACQEAAA8AAABkcnMvZG93bnJldi54bWxMj8FOwzAQRO9I/IO1SNyoTQhpG+JUCMQV1BYq&#10;9ebG2yQiXkex24S/ZznR486MZt8Uq8l14oxDaD1puJ8pEEiVty3VGj63b3cLECEasqbzhBp+MMCq&#10;vL4qTG79SGs8b2ItuIRCbjQ0Mfa5lKFq0Jkw8z0Se0c/OBP5HGppBzNyuetkolQmnWmJPzSmx5cG&#10;q+/NyWn4ej/ud6n6qF/dYz/6SUlyS6n17c30/AQi4hT/w/CHz+hQMtPBn8gG0WlIswdOakiyOQj2&#10;M5WycGAhTeYgy0JeLih/AQAA//8DAFBLAQItABQABgAIAAAAIQC2gziS/gAAAOEBAAATAAAAAAAA&#10;AAAAAAAAAAAAAABbQ29udGVudF9UeXBlc10ueG1sUEsBAi0AFAAGAAgAAAAhADj9If/WAAAAlAEA&#10;AAsAAAAAAAAAAAAAAAAALwEAAF9yZWxzLy5yZWxzUEsBAi0AFAAGAAgAAAAhAIJ3Ur61AgAAuwUA&#10;AA4AAAAAAAAAAAAAAAAALgIAAGRycy9lMm9Eb2MueG1sUEsBAi0AFAAGAAgAAAAhAFLhO3LdAAAA&#10;CQEAAA8AAAAAAAAAAAAAAAAADwUAAGRycy9kb3ducmV2LnhtbFBLBQYAAAAABAAEAPMAAAAZBgAA&#10;AAA=&#10;" filled="f" stroked="f">
                <v:textbox>
                  <w:txbxContent>
                    <w:p w:rsidR="006A6819" w:rsidRDefault="006A68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Im Labor kann Hydrazin durch Einleiten von Chlor in Harnstofflösung und Zugabe von Natronlauge hergestellt werden. </w:t>
                      </w:r>
                    </w:p>
                    <w:p w:rsidR="006A6819" w:rsidRDefault="006A68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Neben Hydrazin entstehen dabei Dinatrium-carbonat, Natriumchlorid und Wasser.</w:t>
                      </w:r>
                    </w:p>
                    <w:p w:rsidR="006A6819" w:rsidRDefault="006A6819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>2</w:t>
      </w:r>
      <w:r>
        <w:rPr>
          <w:sz w:val="28"/>
        </w:rPr>
        <w:tab/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</w:t>
      </w:r>
      <w:r w:rsidR="004A22B5">
        <w:rPr>
          <w:noProof/>
          <w:sz w:val="28"/>
        </w:rPr>
        <w:drawing>
          <wp:inline distT="0" distB="0" distL="0" distR="0">
            <wp:extent cx="1285875" cy="1352550"/>
            <wp:effectExtent l="0" t="0" r="0" b="0"/>
            <wp:docPr id="2" name="Bild 2" descr="2009 Chemie A 1 Harns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9 Chemie A 1 Harnsto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 xml:space="preserve">Formulieren Sie die Reaktionsgleichung für die Herstellung von 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Hydrazin.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Erläutern Sie an Hand dieser Reaktion die Begriffe Oxidation und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Reduktion.</w:t>
      </w:r>
      <w:r>
        <w:rPr>
          <w:sz w:val="28"/>
        </w:rPr>
        <w:tab/>
        <w:t xml:space="preserve">  5 VP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>3</w:t>
      </w:r>
      <w:r>
        <w:rPr>
          <w:sz w:val="28"/>
        </w:rPr>
        <w:tab/>
        <w:t>Hydrazin wird als Raketentreibstoff eingesetzt. Dabei wird es mit Distick-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stofftetraoxid zu Stickstoff und Wasserdampf umgesetzt.</w:t>
      </w:r>
    </w:p>
    <w:p w:rsidR="006A6819" w:rsidRDefault="006A6819">
      <w:pPr>
        <w:pStyle w:val="Textkrper-Einzug3"/>
        <w:tabs>
          <w:tab w:val="left" w:pos="851"/>
        </w:tabs>
        <w:spacing w:before="120"/>
      </w:pPr>
      <w:r>
        <w:tab/>
      </w:r>
      <w:r>
        <w:sym w:font="Symbol" w:char="F0B7"/>
      </w:r>
      <w:r>
        <w:tab/>
        <w:t>Formulieren Sie die Reaktionsgleichung für diese Reaktion.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Berechnen Sie das Volumen an Stickstoff, das pro 1000 Gramm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Hydrazin bezogen auf Normbedingungen freigesetzt wird.</w:t>
      </w:r>
      <w:r>
        <w:rPr>
          <w:sz w:val="28"/>
        </w:rPr>
        <w:tab/>
        <w:t xml:space="preserve">  3 VP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lastRenderedPageBreak/>
        <w:t>4</w:t>
      </w:r>
      <w:r>
        <w:rPr>
          <w:sz w:val="28"/>
        </w:rPr>
        <w:tab/>
        <w:t>Aus farblosem Distickstofftetraoxid bildet sich in einer Gleichgewichts-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reaktion braunes Stickstoffdioxid. Beide Stoffe sind bei Raumtemperatur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gasförmig.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Die Gleichgewichtskonzentrationen bei Raumtemperatur sind: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sz w:val="28"/>
          <w:lang w:val="pt-PT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i/>
          <w:iCs/>
          <w:sz w:val="28"/>
          <w:lang w:val="pt-PT"/>
        </w:rPr>
        <w:t>c</w:t>
      </w:r>
      <w:r>
        <w:rPr>
          <w:sz w:val="28"/>
          <w:lang w:val="pt-PT"/>
        </w:rPr>
        <w:t>(NO</w:t>
      </w:r>
      <w:r>
        <w:rPr>
          <w:sz w:val="28"/>
          <w:vertAlign w:val="subscript"/>
          <w:lang w:val="pt-PT"/>
        </w:rPr>
        <w:t>2</w:t>
      </w:r>
      <w:r>
        <w:rPr>
          <w:sz w:val="28"/>
          <w:lang w:val="pt-PT"/>
        </w:rPr>
        <w:t>) = 1,42 · 10</w:t>
      </w:r>
      <w:r>
        <w:rPr>
          <w:sz w:val="28"/>
          <w:vertAlign w:val="superscript"/>
          <w:lang w:val="pt-PT"/>
        </w:rPr>
        <w:t>-2</w:t>
      </w:r>
      <w:r>
        <w:rPr>
          <w:sz w:val="28"/>
          <w:lang w:val="pt-PT"/>
        </w:rPr>
        <w:t xml:space="preserve"> mol · L</w:t>
      </w:r>
      <w:r>
        <w:rPr>
          <w:sz w:val="28"/>
          <w:vertAlign w:val="superscript"/>
          <w:lang w:val="pt-PT"/>
        </w:rPr>
        <w:t>-1</w:t>
      </w:r>
      <w:r>
        <w:rPr>
          <w:sz w:val="28"/>
          <w:lang w:val="pt-PT"/>
        </w:rPr>
        <w:t xml:space="preserve">     </w:t>
      </w:r>
      <w:r>
        <w:rPr>
          <w:i/>
          <w:iCs/>
          <w:sz w:val="28"/>
          <w:lang w:val="pt-PT"/>
        </w:rPr>
        <w:t>c</w:t>
      </w:r>
      <w:r>
        <w:rPr>
          <w:sz w:val="28"/>
          <w:lang w:val="pt-PT"/>
        </w:rPr>
        <w:t>(N</w:t>
      </w:r>
      <w:r>
        <w:rPr>
          <w:sz w:val="28"/>
          <w:vertAlign w:val="subscript"/>
          <w:lang w:val="pt-PT"/>
        </w:rPr>
        <w:t>2</w:t>
      </w:r>
      <w:r>
        <w:rPr>
          <w:sz w:val="28"/>
          <w:lang w:val="pt-PT"/>
        </w:rPr>
        <w:t>O</w:t>
      </w:r>
      <w:r>
        <w:rPr>
          <w:sz w:val="28"/>
          <w:vertAlign w:val="subscript"/>
          <w:lang w:val="pt-PT"/>
        </w:rPr>
        <w:t>4</w:t>
      </w:r>
      <w:r>
        <w:rPr>
          <w:sz w:val="28"/>
          <w:lang w:val="pt-PT"/>
        </w:rPr>
        <w:t>) = 4,27 · 10</w:t>
      </w:r>
      <w:r>
        <w:rPr>
          <w:sz w:val="28"/>
          <w:vertAlign w:val="superscript"/>
          <w:lang w:val="pt-PT"/>
        </w:rPr>
        <w:t>-2</w:t>
      </w:r>
      <w:r>
        <w:rPr>
          <w:sz w:val="28"/>
          <w:lang w:val="pt-PT"/>
        </w:rPr>
        <w:t xml:space="preserve"> mol · L</w:t>
      </w:r>
      <w:r>
        <w:rPr>
          <w:sz w:val="28"/>
          <w:vertAlign w:val="superscript"/>
          <w:lang w:val="pt-PT"/>
        </w:rPr>
        <w:t>-1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sz w:val="28"/>
        </w:rPr>
      </w:pPr>
      <w:r>
        <w:rPr>
          <w:sz w:val="28"/>
          <w:lang w:val="pt-PT"/>
        </w:rPr>
        <w:tab/>
      </w:r>
      <w:r>
        <w:rPr>
          <w:sz w:val="28"/>
          <w:lang w:val="pt-PT"/>
        </w:rPr>
        <w:sym w:font="Symbol" w:char="F0B7"/>
      </w:r>
      <w:r>
        <w:rPr>
          <w:sz w:val="28"/>
        </w:rPr>
        <w:tab/>
        <w:t>Formulieren Sie zu diesem Gleichgewicht eine Reaktionsgleichung und</w:t>
      </w:r>
    </w:p>
    <w:p w:rsidR="006A6819" w:rsidRDefault="006A6819">
      <w:pPr>
        <w:pStyle w:val="Textkrper-Einzug3"/>
        <w:tabs>
          <w:tab w:val="left" w:pos="851"/>
        </w:tabs>
      </w:pPr>
      <w:r>
        <w:tab/>
      </w:r>
      <w:r>
        <w:tab/>
        <w:t>das Massenwirkungsgesetz.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Berechnen Sie die Gleichgewichtskonstante.</w:t>
      </w:r>
    </w:p>
    <w:p w:rsidR="006A6819" w:rsidRDefault="006A6819">
      <w:pPr>
        <w:pStyle w:val="Textkrper-Einzug3"/>
        <w:tabs>
          <w:tab w:val="left" w:pos="851"/>
        </w:tabs>
        <w:spacing w:before="120"/>
      </w:pPr>
      <w:r>
        <w:tab/>
        <w:t>Erhöht man die Temperatur der Gleichgewichtsmischung bei konstantem Druck, so stellt man eine Vertiefung der Braunfärbung fest.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spacing w:before="120"/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Leiten Sie aus dieser Beobachtung ab, ob die Bildung von Stickstoff-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  <w:lang w:val="en-GB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GB"/>
        </w:rPr>
        <w:t>dioxid exotherm oder endotherm verläuft.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  <w:lang w:val="en-GB"/>
        </w:rPr>
        <w:tab/>
      </w:r>
      <w:r>
        <w:rPr>
          <w:sz w:val="28"/>
          <w:lang w:val="en-GB"/>
        </w:rPr>
        <w:sym w:font="Symbol" w:char="F0B7"/>
      </w:r>
      <w:r>
        <w:rPr>
          <w:sz w:val="28"/>
        </w:rPr>
        <w:tab/>
        <w:t>Erläutern Sie eine Maßnahme, um bei konstanter Temperatur das Gleich-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gewicht auf die Seite von Distickstofftetraoxid zu verschieben.</w:t>
      </w:r>
      <w:r>
        <w:rPr>
          <w:sz w:val="28"/>
        </w:rPr>
        <w:tab/>
        <w:t xml:space="preserve">  5 VP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 VP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  <w:sectPr w:rsidR="006A6819">
          <w:headerReference w:type="default" r:id="rId8"/>
          <w:footerReference w:type="default" r:id="rId9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6A6819">
      <w:pPr>
        <w:pStyle w:val="berschrift5"/>
      </w:pPr>
      <w:r>
        <w:lastRenderedPageBreak/>
        <w:t>Aufgabe 2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>1</w:t>
      </w:r>
      <w:r>
        <w:rPr>
          <w:sz w:val="28"/>
        </w:rPr>
        <w:tab/>
        <w:t>Diabetiker sollten sich an eine bestimmte Diät halten, die auch Kohlen-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hydrate beinhalten muss. Dabei werden stärkehaltige Vollkornprodukte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und Kartoffeln gegenüber Lebensmitteln, die große Mengen an Glucose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  <w:t>oder Saccharose enthalten, bevorzugt.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numPr>
          <w:ilvl w:val="1"/>
          <w:numId w:val="4"/>
        </w:numPr>
        <w:tabs>
          <w:tab w:val="left" w:pos="851"/>
          <w:tab w:val="left" w:pos="8222"/>
          <w:tab w:val="left" w:pos="9072"/>
        </w:tabs>
        <w:rPr>
          <w:sz w:val="28"/>
        </w:rPr>
      </w:pPr>
      <w:r>
        <w:rPr>
          <w:sz w:val="28"/>
        </w:rPr>
        <w:t>Zeichnen Sie einen Strukturformelausschnitt aus einem Amylosemolekül,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der drei Glucoseeinheiten umfasst.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Beschreiben Sie den strukturellen Unterschied zwischen Amylose und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Amylopektin.</w:t>
      </w:r>
      <w:r>
        <w:rPr>
          <w:sz w:val="28"/>
        </w:rPr>
        <w:tab/>
        <w:t xml:space="preserve">  3 VP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1"/>
          <w:numId w:val="4"/>
        </w:numPr>
        <w:tabs>
          <w:tab w:val="left" w:pos="851"/>
          <w:tab w:val="left" w:pos="8222"/>
          <w:tab w:val="left" w:pos="9072"/>
        </w:tabs>
        <w:rPr>
          <w:sz w:val="28"/>
        </w:rPr>
      </w:pPr>
      <w:r>
        <w:rPr>
          <w:sz w:val="28"/>
        </w:rPr>
        <w:t>Begründen Sie, weshalb der Glucosegehalt des Blutes beim Verzehr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stärkehaltiger Lebensmittel langsamer steigt als beim Verzehr von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Lebensmitteln, die große Mengen an Glucose enthalten.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Beschreiben Sie je einen Nachweis für Glucose und Stärke.</w:t>
      </w:r>
      <w:r>
        <w:rPr>
          <w:sz w:val="28"/>
        </w:rPr>
        <w:tab/>
        <w:t xml:space="preserve">  3 VP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0"/>
          <w:numId w:val="4"/>
        </w:numPr>
        <w:tabs>
          <w:tab w:val="left" w:pos="851"/>
          <w:tab w:val="left" w:pos="8222"/>
          <w:tab w:val="left" w:pos="9072"/>
        </w:tabs>
        <w:rPr>
          <w:sz w:val="28"/>
        </w:rPr>
      </w:pPr>
      <w:r>
        <w:rPr>
          <w:sz w:val="28"/>
        </w:rPr>
        <w:t>Das Peptidhormon Insulin reguliert den Glucosegehalt des Blutes.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Bei Diabetikern ist entweder die Bildung des Insulins in der Bauch-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speicheldrüse oder die Wirksamkeit des Insulins an der Zelle gestört.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Bevor Human-Insulin zur Behandlung dieser Patienten verfügbar war,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wurde Insulin aus der Bauchspeicheldrüse von Schweinen verwendet.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Human-Insulin und Schweine-Insulin unterscheiden sich lediglich im</w:t>
      </w:r>
    </w:p>
    <w:p w:rsidR="006A6819" w:rsidRDefault="006A6819">
      <w:pPr>
        <w:tabs>
          <w:tab w:val="left" w:pos="567"/>
          <w:tab w:val="left" w:pos="851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letzten Aminosäurebaustein am Carboxyl-Ende einer Peptidkette:</w:t>
      </w:r>
    </w:p>
    <w:p w:rsidR="006A6819" w:rsidRDefault="006A6819">
      <w:pPr>
        <w:pStyle w:val="berschrift6"/>
        <w:rPr>
          <w:lang w:val="en-GB"/>
        </w:rPr>
      </w:pPr>
      <w:r>
        <w:rPr>
          <w:lang w:val="en-GB"/>
        </w:rPr>
        <w:t>Human-Insulin:</w:t>
      </w:r>
      <w:r>
        <w:rPr>
          <w:lang w:val="en-GB"/>
        </w:rPr>
        <w:tab/>
        <w:t>...-Lys-Thr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Schweine-Insulin:</w:t>
      </w:r>
      <w:r>
        <w:rPr>
          <w:sz w:val="28"/>
        </w:rPr>
        <w:tab/>
        <w:t>…-Lys-Ala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Die genannten L-</w:t>
      </w:r>
      <w:r>
        <w:rPr>
          <w:sz w:val="28"/>
        </w:rPr>
        <w:sym w:font="Symbol" w:char="F061"/>
      </w:r>
      <w:r>
        <w:rPr>
          <w:sz w:val="28"/>
        </w:rPr>
        <w:t>-Aminosäuren besitzen folgende charakteristischen Reste: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  <w:lang w:val="en-GB"/>
        </w:rPr>
      </w:pPr>
      <w:r>
        <w:rPr>
          <w:sz w:val="28"/>
          <w:lang w:val="en-GB"/>
        </w:rPr>
        <w:t>Lys:   Lysin</w:t>
      </w:r>
      <w:r>
        <w:rPr>
          <w:sz w:val="28"/>
          <w:lang w:val="en-GB"/>
        </w:rPr>
        <w:tab/>
        <w:t>Rest: -CH</w:t>
      </w:r>
      <w:r>
        <w:rPr>
          <w:sz w:val="28"/>
          <w:vertAlign w:val="subscript"/>
          <w:lang w:val="en-GB"/>
        </w:rPr>
        <w:t>2</w:t>
      </w:r>
      <w:r>
        <w:rPr>
          <w:sz w:val="28"/>
          <w:lang w:val="en-GB"/>
        </w:rPr>
        <w:t>-CH</w:t>
      </w:r>
      <w:r>
        <w:rPr>
          <w:sz w:val="28"/>
          <w:vertAlign w:val="subscript"/>
          <w:lang w:val="en-GB"/>
        </w:rPr>
        <w:t>2</w:t>
      </w:r>
      <w:r>
        <w:rPr>
          <w:sz w:val="28"/>
          <w:lang w:val="en-GB"/>
        </w:rPr>
        <w:t>-CH</w:t>
      </w:r>
      <w:r>
        <w:rPr>
          <w:sz w:val="28"/>
          <w:vertAlign w:val="subscript"/>
          <w:lang w:val="en-GB"/>
        </w:rPr>
        <w:t>2</w:t>
      </w:r>
      <w:r>
        <w:rPr>
          <w:sz w:val="28"/>
          <w:lang w:val="en-GB"/>
        </w:rPr>
        <w:t>-CH</w:t>
      </w:r>
      <w:r>
        <w:rPr>
          <w:sz w:val="28"/>
          <w:vertAlign w:val="subscript"/>
          <w:lang w:val="en-GB"/>
        </w:rPr>
        <w:t>2</w:t>
      </w:r>
      <w:r>
        <w:rPr>
          <w:sz w:val="28"/>
          <w:lang w:val="en-GB"/>
        </w:rPr>
        <w:t>-NH</w:t>
      </w:r>
      <w:r>
        <w:rPr>
          <w:sz w:val="28"/>
          <w:vertAlign w:val="subscript"/>
          <w:lang w:val="en-GB"/>
        </w:rPr>
        <w:t>2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  <w:lang w:val="en-GB"/>
        </w:rPr>
      </w:pPr>
      <w:r>
        <w:rPr>
          <w:sz w:val="28"/>
          <w:lang w:val="en-GB"/>
        </w:rPr>
        <w:t>Thr:   Threonin</w:t>
      </w:r>
      <w:r>
        <w:rPr>
          <w:sz w:val="28"/>
          <w:lang w:val="en-GB"/>
        </w:rPr>
        <w:tab/>
        <w:t>Rest: -CH(OH)-CH</w:t>
      </w:r>
      <w:r>
        <w:rPr>
          <w:sz w:val="28"/>
          <w:vertAlign w:val="subscript"/>
          <w:lang w:val="en-GB"/>
        </w:rPr>
        <w:t>3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  <w:lang w:val="en-GB"/>
        </w:rPr>
      </w:pPr>
      <w:r>
        <w:rPr>
          <w:sz w:val="28"/>
          <w:lang w:val="en-GB"/>
        </w:rPr>
        <w:t>Ala:   Alanin</w:t>
      </w:r>
      <w:r>
        <w:rPr>
          <w:sz w:val="28"/>
          <w:lang w:val="en-GB"/>
        </w:rPr>
        <w:tab/>
        <w:t>Rest: -CH</w:t>
      </w:r>
      <w:r>
        <w:rPr>
          <w:sz w:val="28"/>
          <w:vertAlign w:val="subscript"/>
          <w:lang w:val="en-GB"/>
        </w:rPr>
        <w:t>3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  <w:lang w:val="en-GB"/>
        </w:rPr>
      </w:pPr>
    </w:p>
    <w:p w:rsidR="006A6819" w:rsidRDefault="006A6819">
      <w:pPr>
        <w:numPr>
          <w:ilvl w:val="1"/>
          <w:numId w:val="4"/>
        </w:numPr>
        <w:tabs>
          <w:tab w:val="clear" w:pos="570"/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Erläutern Sie den Begriff L-</w:t>
      </w:r>
      <w:r>
        <w:rPr>
          <w:sz w:val="28"/>
        </w:rPr>
        <w:sym w:font="Symbol" w:char="F061"/>
      </w:r>
      <w:r>
        <w:rPr>
          <w:sz w:val="28"/>
        </w:rPr>
        <w:t xml:space="preserve">-Aminosäure an einem selbst gewählten Beispiel unter Verwendung einer Strukturformel in </w:t>
      </w:r>
      <w:r>
        <w:rPr>
          <w:smallCaps/>
          <w:sz w:val="28"/>
        </w:rPr>
        <w:t>Fischer</w:t>
      </w:r>
      <w:r>
        <w:rPr>
          <w:sz w:val="28"/>
        </w:rPr>
        <w:t>-Projektion.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3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1"/>
          <w:numId w:val="4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Zeichnen Sie die beiden Strukturformelausschnitte, die die letzten zwei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Aminosäurebausteine aus dem Human-Insulin und dem Schweine-Insulin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 xml:space="preserve">darstellen. 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Beschreiben Sie, welche Bedeutung der Lysinrest für die Tertiärstruktur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eines Proteins hat.</w:t>
      </w:r>
      <w:r>
        <w:rPr>
          <w:sz w:val="28"/>
        </w:rPr>
        <w:tab/>
      </w:r>
      <w:r>
        <w:rPr>
          <w:sz w:val="28"/>
        </w:rPr>
        <w:tab/>
        <w:t xml:space="preserve">  4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0"/>
          <w:numId w:val="4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lastRenderedPageBreak/>
        <w:t>Der pH-Wert des arteriellen Blutes muss in engen Grenzen zwischen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7,38 &lt; pH &lt; 7,42 gehalten werden. Dazu dient neben anderen das Kohlen-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säure/Hydrogencarbonat-Puffersystem, das sich durch folgende Gleich-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gewichtsreaktionen beschreiben lässt: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spacing w:before="120"/>
        <w:ind w:left="573"/>
        <w:rPr>
          <w:sz w:val="28"/>
          <w:lang w:val="pt-PT"/>
        </w:rPr>
      </w:pPr>
      <w:r>
        <w:rPr>
          <w:sz w:val="28"/>
        </w:rPr>
        <w:tab/>
      </w:r>
      <w:r>
        <w:rPr>
          <w:sz w:val="28"/>
          <w:lang w:val="pt-PT"/>
        </w:rPr>
        <w:t>CO</w:t>
      </w:r>
      <w:r>
        <w:rPr>
          <w:sz w:val="28"/>
          <w:vertAlign w:val="subscript"/>
          <w:lang w:val="pt-PT"/>
        </w:rPr>
        <w:t>2</w:t>
      </w:r>
      <w:r>
        <w:rPr>
          <w:sz w:val="28"/>
          <w:lang w:val="pt-PT"/>
        </w:rPr>
        <w:t xml:space="preserve"> + 2 H</w:t>
      </w:r>
      <w:r>
        <w:rPr>
          <w:sz w:val="28"/>
          <w:vertAlign w:val="subscript"/>
          <w:lang w:val="pt-PT"/>
        </w:rPr>
        <w:t>2</w:t>
      </w:r>
      <w:r>
        <w:rPr>
          <w:sz w:val="28"/>
          <w:lang w:val="pt-PT"/>
        </w:rPr>
        <w:t xml:space="preserve">O </w:t>
      </w:r>
      <w:r>
        <w:rPr>
          <w:sz w:val="28"/>
        </w:rPr>
        <w:sym w:font="Chemical" w:char="F03D"/>
      </w:r>
      <w:r>
        <w:rPr>
          <w:sz w:val="28"/>
          <w:lang w:val="pt-PT"/>
        </w:rPr>
        <w:t xml:space="preserve"> H</w:t>
      </w:r>
      <w:r>
        <w:rPr>
          <w:sz w:val="28"/>
          <w:vertAlign w:val="subscript"/>
          <w:lang w:val="pt-PT"/>
        </w:rPr>
        <w:t>2</w:t>
      </w:r>
      <w:r>
        <w:rPr>
          <w:sz w:val="28"/>
          <w:lang w:val="pt-PT"/>
        </w:rPr>
        <w:t>CO</w:t>
      </w:r>
      <w:r>
        <w:rPr>
          <w:sz w:val="28"/>
          <w:vertAlign w:val="subscript"/>
          <w:lang w:val="pt-PT"/>
        </w:rPr>
        <w:t>3</w:t>
      </w:r>
      <w:r>
        <w:rPr>
          <w:sz w:val="28"/>
          <w:lang w:val="pt-PT"/>
        </w:rPr>
        <w:t xml:space="preserve"> + H</w:t>
      </w:r>
      <w:r>
        <w:rPr>
          <w:sz w:val="28"/>
          <w:vertAlign w:val="subscript"/>
          <w:lang w:val="pt-PT"/>
        </w:rPr>
        <w:t>2</w:t>
      </w:r>
      <w:r>
        <w:rPr>
          <w:sz w:val="28"/>
          <w:lang w:val="pt-PT"/>
        </w:rPr>
        <w:t xml:space="preserve">O </w:t>
      </w:r>
      <w:r>
        <w:rPr>
          <w:sz w:val="28"/>
          <w:lang w:val="pt-PT"/>
        </w:rPr>
        <w:sym w:font="Chemical" w:char="F03D"/>
      </w:r>
      <w:r>
        <w:rPr>
          <w:sz w:val="28"/>
          <w:lang w:val="pt-PT"/>
        </w:rPr>
        <w:t xml:space="preserve"> HCO</w:t>
      </w:r>
      <w:r>
        <w:rPr>
          <w:sz w:val="28"/>
          <w:vertAlign w:val="subscript"/>
          <w:lang w:val="pt-PT"/>
        </w:rPr>
        <w:t>3</w:t>
      </w:r>
      <w:r>
        <w:rPr>
          <w:sz w:val="28"/>
          <w:vertAlign w:val="superscript"/>
          <w:lang w:val="pt-PT"/>
        </w:rPr>
        <w:t>-</w:t>
      </w:r>
      <w:r>
        <w:rPr>
          <w:sz w:val="28"/>
          <w:lang w:val="pt-PT"/>
        </w:rPr>
        <w:t xml:space="preserve"> + H</w:t>
      </w:r>
      <w:r>
        <w:rPr>
          <w:sz w:val="28"/>
          <w:vertAlign w:val="subscript"/>
          <w:lang w:val="pt-PT"/>
        </w:rPr>
        <w:t>3</w:t>
      </w:r>
      <w:r>
        <w:rPr>
          <w:sz w:val="28"/>
          <w:lang w:val="pt-PT"/>
        </w:rPr>
        <w:t>O</w:t>
      </w:r>
      <w:r>
        <w:rPr>
          <w:sz w:val="28"/>
          <w:vertAlign w:val="superscript"/>
          <w:lang w:val="pt-PT"/>
        </w:rPr>
        <w:t>+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spacing w:before="120"/>
        <w:ind w:left="573"/>
        <w:rPr>
          <w:sz w:val="28"/>
        </w:rPr>
      </w:pPr>
      <w:r>
        <w:rPr>
          <w:sz w:val="28"/>
        </w:rPr>
        <w:t>Bei Überzuckerung besteht für den Diabetiker die Gefahr einer Übersäuerung des Blutes (Azidose), die bereits bei geringer Absenkung  des   pH-Werts unter pH = 7 lebensbedrohlich ist. Dies wird durch den Anstieg der Konzentration verschiedener saurer Stoffwechselprodukte               (z.B. 2-Hydroxy-butansäure) im Blut bewirkt. Der Körper reagiert      darauf mit verstärkter Ausatmung von Kohlenstoffdioxid.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1"/>
          <w:numId w:val="4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Erläutern Sie am Beispiel des beschriebenen Blutpuffers die Wirkung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eines Puffersystems.</w:t>
      </w:r>
      <w:r>
        <w:rPr>
          <w:sz w:val="28"/>
        </w:rPr>
        <w:tab/>
        <w:t xml:space="preserve">  3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1"/>
          <w:numId w:val="4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Formulieren Sie die Reaktionsgleichung für die Reaktion von 2-Hydroxy-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butansäure mit Wasser.</w:t>
      </w:r>
    </w:p>
    <w:p w:rsidR="006A6819" w:rsidRDefault="006A6819">
      <w:pPr>
        <w:pStyle w:val="berschrift7"/>
      </w:pPr>
      <w:r>
        <w:t>Beschreiben Sie eine mögliche Ursache dafür, dass es bei Überzuckerung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trotz dieses Blutpuffersystems zur Übersäuerung des Blutes kommen kann.</w:t>
      </w:r>
    </w:p>
    <w:p w:rsidR="006A6819" w:rsidRDefault="006A6819">
      <w:pPr>
        <w:pStyle w:val="berschrift7"/>
      </w:pPr>
      <w:r>
        <w:t>Erläutern Sie, warum durch verstärkte Abatmung von Kohlenstoffdioxid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der pH-Wert des Blutes wieder erhöht werden kann.</w:t>
      </w:r>
      <w:r>
        <w:rPr>
          <w:sz w:val="28"/>
        </w:rPr>
        <w:tab/>
        <w:t xml:space="preserve">  4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  <w:sectPr w:rsidR="006A6819">
          <w:headerReference w:type="default" r:id="rId10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6A6819">
      <w:pPr>
        <w:pStyle w:val="berschrift5"/>
      </w:pPr>
      <w:r>
        <w:lastRenderedPageBreak/>
        <w:t>Aufgabe 3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1</w:t>
      </w:r>
      <w:r>
        <w:rPr>
          <w:sz w:val="28"/>
        </w:rPr>
        <w:tab/>
        <w:t>In modernen Produkten werden in vielen Bereichen Kunststoffe eingesetzt.</w:t>
      </w:r>
    </w:p>
    <w:p w:rsidR="006A6819" w:rsidRDefault="006A6819">
      <w:pPr>
        <w:pStyle w:val="Textkrper-Einzug3"/>
        <w:tabs>
          <w:tab w:val="left" w:pos="851"/>
          <w:tab w:val="left" w:pos="2835"/>
        </w:tabs>
      </w:pPr>
      <w:r>
        <w:tab/>
        <w:t>Oft werden die gewünschten Materialeigenschaften erst durch Kombination verschiedener Kunststoffe, so genannte Blends, erreicht. Terblend</w:t>
      </w:r>
      <w:r>
        <w:rPr>
          <w:vertAlign w:val="superscript"/>
        </w:rPr>
        <w:sym w:font="Symbol" w:char="F0D2"/>
      </w:r>
      <w:r>
        <w:t xml:space="preserve"> N, eine Kombination aus dem Copolymer ABS (Acrylnitril-Butadien-Styrol) und einem Polyamid, erfährt eine vielseitige Anwendung in der Fahrzeug-technik. Polyamide zeichnen sich durch ihre Reiß- und Zugfestigkeit aus.</w:t>
      </w:r>
    </w:p>
    <w:p w:rsidR="006A6819" w:rsidRDefault="004A22B5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130810</wp:posOffset>
                </wp:positionV>
                <wp:extent cx="2057400" cy="1028700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819" w:rsidRDefault="006A6819">
                            <w:pPr>
                              <w:pStyle w:val="berschrift8"/>
                            </w:pPr>
                            <w:r>
                              <w:t>Die Abbildung zeigt einen Ausschnitt aus einem Polyamidmolekül.</w:t>
                            </w:r>
                          </w:p>
                        </w:txbxContent>
                      </wps:txbx>
                      <wps:bodyPr rot="0" vert="horz" wrap="square" lIns="91440" tIns="64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3.15pt;margin-top:10.3pt;width:162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a9ug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1LMBK0gx7ds9GgGzkiYssz9DoFr7se/MwIx+DqqOr+VpbfNBJy1VCxZddKyaFhtIL0QnvTP7s6&#10;4WgLshk+ygrC0J2RDmisVWdrB9VAgA5teji1xqZSwmEUzBYkAFMJtjCI4gVsbAyaHq/3Spv3THbI&#10;LjKsoPcOnu5vtZlcjy42mpAFb1s4p2krnh0A5nQCweGqtdk0XDsfkyBZx+uYeCSarz0S5Ll3XayI&#10;Ny/CxSx/l69WefjTxg1J2vCqYsKGOUorJH/WuoPIJ1GcxKVlyysLZ1PSartZtQrtKUi7cN+hIGdu&#10;/vM0XL2AywtKYUSCmyjxinm88EhBZl6yCGIvCJObZB6QhOTFc0q3XLB/p4SGDCezaDap6bfcAve9&#10;5kbTjhsYHi3vMhyfnGhqNbgWlWutobyd1melsOk/lQLafWy0U6wV6SRXM27G6W3Y6FbNG1k9gISV&#10;BIGBGGHwwaKR6gdGAwyRDOvvO6oYRu0HAc8gCQmxU8dt5gSSxEidWzZuQ2aLCCxUlACVYXNcrsw0&#10;qXa94tsGIk0PT8hreDo1d6J+yurw4GBQOG6HoWYn0fneeT2N3uUvAAAA//8DAFBLAwQUAAYACAAA&#10;ACEAqmgMHN0AAAAJAQAADwAAAGRycy9kb3ducmV2LnhtbEyPwU7DMAyG70i8Q2QkbixZxspUmk4I&#10;hrghMbads8a0FY1TNdnWvj3mBEf7//T7c7EefSfOOMQ2kIH5TIFAqoJrqTaw+3y9W4GIyZKzXSA0&#10;MGGEdXl9VdjchQt94HmbasElFHNroEmpz6WMVYPexlnokTj7CoO3icehlm6wFy73ndRKZdLblvhC&#10;Y3t8brD63p68ATn5aXnop91m/rZ50ePeu+W7Nub2Znx6BJFwTH8w/OqzOpTsdAwnclF0Bu6zBZMG&#10;tMpAcL54ULw4MrjSGciykP8/KH8AAAD//wMAUEsBAi0AFAAGAAgAAAAhALaDOJL+AAAA4QEAABMA&#10;AAAAAAAAAAAAAAAAAAAAAFtDb250ZW50X1R5cGVzXS54bWxQSwECLQAUAAYACAAAACEAOP0h/9YA&#10;AACUAQAACwAAAAAAAAAAAAAAAAAvAQAAX3JlbHMvLnJlbHNQSwECLQAUAAYACAAAACEAKYtWvboC&#10;AADCBQAADgAAAAAAAAAAAAAAAAAuAgAAZHJzL2Uyb0RvYy54bWxQSwECLQAUAAYACAAAACEAqmgM&#10;HN0AAAAJAQAADwAAAAAAAAAAAAAAAAAUBQAAZHJzL2Rvd25yZXYueG1sUEsFBgAAAAAEAAQA8wAA&#10;AB4GAAAAAA==&#10;" filled="f" stroked="f">
                <v:textbox inset=",1.8mm">
                  <w:txbxContent>
                    <w:p w:rsidR="006A6819" w:rsidRDefault="006A6819">
                      <w:pPr>
                        <w:pStyle w:val="berschrift8"/>
                      </w:pPr>
                      <w:r>
                        <w:t>Die Abbildung zeigt einen Ausschnitt aus einem Polyamidmolekül.</w:t>
                      </w:r>
                    </w:p>
                  </w:txbxContent>
                </v:textbox>
              </v:shape>
            </w:pict>
          </mc:Fallback>
        </mc:AlternateConten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>1.1</w:t>
      </w:r>
      <w:r>
        <w:rPr>
          <w:sz w:val="28"/>
        </w:rPr>
        <w:tab/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 xml:space="preserve">                                                       </w:t>
      </w:r>
      <w:r w:rsidR="004A22B5">
        <w:rPr>
          <w:noProof/>
          <w:sz w:val="28"/>
        </w:rPr>
        <w:drawing>
          <wp:inline distT="0" distB="0" distL="0" distR="0">
            <wp:extent cx="3305175" cy="914400"/>
            <wp:effectExtent l="0" t="0" r="0" b="0"/>
            <wp:docPr id="5" name="Bild 5" descr="2009 Chemie A 3 Poly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9 Chemie A 3 Polyami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spacing w:before="120"/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Zeichnen Sie die Strukturformeln der Monomere und benennen Sie</w:t>
      </w:r>
    </w:p>
    <w:p w:rsidR="006A6819" w:rsidRDefault="006A6819">
      <w:pPr>
        <w:pStyle w:val="Textkrper-Einzug3"/>
        <w:tabs>
          <w:tab w:val="left" w:pos="851"/>
          <w:tab w:val="left" w:pos="2835"/>
        </w:tabs>
      </w:pPr>
      <w:r>
        <w:tab/>
      </w:r>
      <w:r>
        <w:tab/>
        <w:t>diese.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Geben Sie den Reaktionstyp zur Herstellung des Polymers an.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Ein ähnliches Polyamid kann auch aus einem einzigen Ausgangsstoff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hergestellt werden. Formulieren Sie hierzu eine Reaktionsgleichung und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benennen Sie den Ausgangsstoff.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Begründen Sie unter Verwendung von Strukturformelausschnitten die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Zug- und Reißfestigkeit von Polyamiden.</w:t>
      </w:r>
      <w:r>
        <w:rPr>
          <w:sz w:val="28"/>
        </w:rPr>
        <w:tab/>
        <w:t xml:space="preserve">  9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numPr>
          <w:ilvl w:val="1"/>
          <w:numId w:val="5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Der Thermoplast ABS wird aus folgenden Monomeren hergestellt: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 xml:space="preserve">         </w:t>
      </w:r>
      <w:r w:rsidR="004A22B5">
        <w:rPr>
          <w:noProof/>
          <w:sz w:val="28"/>
        </w:rPr>
        <w:drawing>
          <wp:inline distT="0" distB="0" distL="0" distR="0">
            <wp:extent cx="5286375" cy="1171575"/>
            <wp:effectExtent l="0" t="0" r="0" b="0"/>
            <wp:docPr id="6" name="Bild 6" descr="2009 Chemie A 3 Thermo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9 Chemie A 3 Thermopla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spacing w:before="120"/>
        <w:ind w:left="567"/>
        <w:rPr>
          <w:sz w:val="28"/>
        </w:rPr>
      </w:pPr>
      <w:r>
        <w:rPr>
          <w:sz w:val="28"/>
        </w:rPr>
        <w:sym w:font="Symbol" w:char="F0B7"/>
      </w:r>
      <w:r>
        <w:rPr>
          <w:sz w:val="28"/>
        </w:rPr>
        <w:tab/>
        <w:t>Zeichnen Sie einen möglichen Strukturformelausschnitt unter Ver-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>wendung der drei Monomere.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sym w:font="Symbol" w:char="F0B7"/>
      </w:r>
      <w:r>
        <w:rPr>
          <w:sz w:val="28"/>
        </w:rPr>
        <w:tab/>
        <w:t>Geben Sie auch hierzu den Reaktionstyp zur Herstellung des Polymers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>an.</w:t>
      </w:r>
      <w:r>
        <w:rPr>
          <w:sz w:val="28"/>
        </w:rPr>
        <w:tab/>
      </w:r>
      <w:r>
        <w:rPr>
          <w:sz w:val="28"/>
        </w:rPr>
        <w:tab/>
        <w:t xml:space="preserve">  3 VP</w:t>
      </w:r>
    </w:p>
    <w:p w:rsidR="006A6819" w:rsidRDefault="004A22B5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52705</wp:posOffset>
                </wp:positionV>
                <wp:extent cx="3314700" cy="102870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Hinweis:</w:t>
                            </w:r>
                          </w:p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Buta-1,3-dien wird im Makromolekül</w:t>
                            </w:r>
                          </w:p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gemäß nebenstehender Abbildung</w:t>
                            </w:r>
                          </w:p>
                          <w:p w:rsidR="006A6819" w:rsidRDefault="006A681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1,4-verknüpft.</w:t>
                            </w:r>
                          </w:p>
                        </w:txbxContent>
                      </wps:txbx>
                      <wps:bodyPr rot="0" vert="horz" wrap="square" lIns="1008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2.15pt;margin-top:4.15pt;width:261pt;height:8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3HuQIAAMMFAAAOAAAAZHJzL2Uyb0RvYy54bWysVFtvmzAUfp+0/2D5nWKocwGVVG0I06Tu&#10;IrX7AQ6YYA1sZjsh3bT/vmOTpGmrSdM2HpDPxd+5fT5X1/uuRTuujVAyw9EFwYjLUlVCbjL85aEI&#10;5hgZy2TFWiV5hh+5wdeLt2+uhj7lsWpUW3GNAESadOgz3Fjbp2FoyoZ3zFyonksw1kp3zIKoN2Gl&#10;2QDoXRvGhEzDQemq16rkxoA2H4144fHrmpf2U10bblGbYcjN+r/2/7X7h4srlm406xtRHtJgf5FF&#10;x4SEoCeonFmGtlq8gupEqZVRtb0oVRequhYl9zVANRF5Uc19w3rua4HmmP7UJvP/YMuPu88aiQpm&#10;B5OSrIMZPfC9RbdqjyauPUNvUvC678HP7kENrr5U09+p8qtBUi0bJjf8Rms1NJxVkF7kboZnV0cc&#10;40DWwwdVQRi2tcoD7Wvdud5BNxCgw5geT6NxqZSgvLyM6IyAqQRbROK5E1wMlh6v99rYd1x1yB0y&#10;rGH2Hp7t7owdXY8uLppUhWhb0LO0lc8UgDlqIDhcdTaXhh/nj4Qkq/lqTgMaT1cBJXke3BRLGkyL&#10;aDbJL/PlMo9+urgRTRtRVVy6MEdqRfTPRncg+UiKE7mMakXl4FxKRm/Wy1ajHQNqF/47NOTMLXye&#10;hu8X1PKipCim5DZOgmI6nwW0oJMgmZF5QKLkNpkSmtC8eF7SnZD830tCQ4aTSTwZ2fTb2oj/XtfG&#10;0k5YWB6t6DI8Pzmx1HFwJSs/WstEO57PWuHSf2oFjPs4aM9YR9KRrna/3vu3Ebvojs1rVT0ChbUC&#10;ggEZYfHBoVH6O0YDLJEMm29bpjlG7XvpngEhkBisHS/RySwGQXshiSgFYX1uYbIErAxbjMbj0o6r&#10;attrsWkg1PjypLqBt1MLz+qntA4vDjaFL+6w1dwqOpe919PuXfwCAAD//wMAUEsDBBQABgAIAAAA&#10;IQBFsMGk2wAAAAgBAAAPAAAAZHJzL2Rvd25yZXYueG1sTI9Bb4MwDIXvk/YfIlfabQ0tLUOMUE2T&#10;JvU62sOOgXgElTiIhJb++3mn7WRb7+n5e+VhcYO44hR6Two26wQEUutNT52C8+njOQcRoiajB0+o&#10;4I4BDtXjQ6kL42/0idc6doJDKBRagY1xLKQMrUWnw9qPSKx9+8npyOfUSTPpG4e7QW6TJJNO98Qf&#10;rB7x3WJ7qWenoE6XzFizd8dtuDSn+e6P7mun1NNqeXsFEXGJf2b4xWd0qJip8TOZIAYF2S5lp4Kc&#10;B8v7POOlYd9LkoKsSvm/QPUDAAD//wMAUEsBAi0AFAAGAAgAAAAhALaDOJL+AAAA4QEAABMAAAAA&#10;AAAAAAAAAAAAAAAAAFtDb250ZW50X1R5cGVzXS54bWxQSwECLQAUAAYACAAAACEAOP0h/9YAAACU&#10;AQAACwAAAAAAAAAAAAAAAAAvAQAAX3JlbHMvLnJlbHNQSwECLQAUAAYACAAAACEAgp6tx7kCAADD&#10;BQAADgAAAAAAAAAAAAAAAAAuAgAAZHJzL2Uyb0RvYy54bWxQSwECLQAUAAYACAAAACEARbDBpNsA&#10;AAAIAQAADwAAAAAAAAAAAAAAAAATBQAAZHJzL2Rvd25yZXYueG1sUEsFBgAAAAAEAAQA8wAAABsG&#10;AAAAAA==&#10;" filled="f" stroked="f">
                <v:textbox inset="2.8mm">
                  <w:txbxContent>
                    <w:p w:rsidR="006A6819" w:rsidRDefault="006A68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Hinweis:</w:t>
                      </w:r>
                    </w:p>
                    <w:p w:rsidR="006A6819" w:rsidRDefault="006A68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Buta-1,3-dien wird im Makromolekül</w:t>
                      </w:r>
                    </w:p>
                    <w:p w:rsidR="006A6819" w:rsidRDefault="006A68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gemäß nebenstehender Abbildung</w:t>
                      </w:r>
                    </w:p>
                    <w:p w:rsidR="006A6819" w:rsidRDefault="006A681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1,4-verknüpft.</w:t>
                      </w:r>
                    </w:p>
                  </w:txbxContent>
                </v:textbox>
              </v:shape>
            </w:pict>
          </mc:Fallback>
        </mc:AlternateConten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 xml:space="preserve">                                                                             </w:t>
      </w:r>
      <w:r w:rsidR="004A22B5">
        <w:rPr>
          <w:noProof/>
          <w:sz w:val="28"/>
        </w:rPr>
        <w:drawing>
          <wp:inline distT="0" distB="0" distL="0" distR="0">
            <wp:extent cx="1104900" cy="923925"/>
            <wp:effectExtent l="0" t="0" r="0" b="0"/>
            <wp:docPr id="7" name="Bild 7" descr="2009 Chemie A 3 Buta-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9 Chemie A 3 Buta-di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pStyle w:val="Textkrper-Einzug3"/>
        <w:tabs>
          <w:tab w:val="left" w:pos="851"/>
          <w:tab w:val="left" w:pos="2835"/>
        </w:tabs>
      </w:pPr>
      <w:r>
        <w:lastRenderedPageBreak/>
        <w:t>1.3</w:t>
      </w:r>
      <w:r>
        <w:tab/>
        <w:t>Erläutern Sie Rohstoffverfügbarkeit und Verarbeitungsfähigkeit dieser Kunststoffe im Vergleich zu Karosserieblech.</w:t>
      </w:r>
      <w:r>
        <w:tab/>
        <w:t xml:space="preserve">  3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numPr>
          <w:ilvl w:val="0"/>
          <w:numId w:val="5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Die energetische Verwertung von Kunststoffabfällen erfolgt u.a. in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Heizkraftwerken.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Folgende Tabelle gibt die Heizwerte herkömmlicher Brennstoffe an: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3402"/>
      </w:tblGrid>
      <w:tr w:rsidR="006A6819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3827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Brennstoff</w:t>
            </w:r>
          </w:p>
        </w:tc>
        <w:tc>
          <w:tcPr>
            <w:tcW w:w="3402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Heizwert in MJ · kg</w:t>
            </w:r>
            <w:r>
              <w:rPr>
                <w:b/>
                <w:bCs/>
                <w:sz w:val="28"/>
                <w:vertAlign w:val="superscript"/>
              </w:rPr>
              <w:t>-1</w:t>
            </w:r>
          </w:p>
        </w:tc>
      </w:tr>
      <w:tr w:rsidR="006A6819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3827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Heizöl</w:t>
            </w:r>
          </w:p>
        </w:tc>
        <w:tc>
          <w:tcPr>
            <w:tcW w:w="3402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6A6819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3827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Erdgas</w:t>
            </w:r>
          </w:p>
        </w:tc>
        <w:tc>
          <w:tcPr>
            <w:tcW w:w="3402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6A6819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3827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Steinkohle</w:t>
            </w:r>
          </w:p>
        </w:tc>
        <w:tc>
          <w:tcPr>
            <w:tcW w:w="3402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6A6819">
        <w:tblPrEx>
          <w:tblCellMar>
            <w:top w:w="0" w:type="dxa"/>
            <w:bottom w:w="0" w:type="dxa"/>
          </w:tblCellMar>
        </w:tblPrEx>
        <w:trPr>
          <w:trHeight w:val="315"/>
          <w:jc w:val="center"/>
        </w:trPr>
        <w:tc>
          <w:tcPr>
            <w:tcW w:w="3827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Holz</w:t>
            </w:r>
          </w:p>
        </w:tc>
        <w:tc>
          <w:tcPr>
            <w:tcW w:w="3402" w:type="dxa"/>
          </w:tcPr>
          <w:p w:rsidR="006A6819" w:rsidRDefault="006A6819">
            <w:pPr>
              <w:tabs>
                <w:tab w:val="left" w:pos="567"/>
                <w:tab w:val="left" w:pos="851"/>
                <w:tab w:val="left" w:pos="2835"/>
                <w:tab w:val="left" w:pos="8222"/>
                <w:tab w:val="left" w:pos="9072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Stellvertretend für ein komplexes Kunststoffabfallgemisch soll die folgende Berechnung vereinfachend mit dem Reinstoff Styrol durchgeführt werden.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spacing w:before="120"/>
        <w:ind w:left="567"/>
        <w:rPr>
          <w:sz w:val="28"/>
        </w:rPr>
      </w:pPr>
      <w:r>
        <w:rPr>
          <w:sz w:val="28"/>
        </w:rPr>
        <w:sym w:font="Symbol" w:char="F0B7"/>
      </w:r>
      <w:r>
        <w:rPr>
          <w:sz w:val="28"/>
        </w:rPr>
        <w:tab/>
        <w:t>Berechnen Sie die Standardreaktionsenthalpie für die Verbrennung von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>einem Mol Styrol. Das bei der Verbrennung gebildete Wasser soll als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>Wasserdampf vorliegen.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sym w:font="Symbol" w:char="F0B7"/>
      </w:r>
      <w:r>
        <w:rPr>
          <w:sz w:val="28"/>
        </w:rPr>
        <w:tab/>
        <w:t>Ermitteln Sie den Heizwert von Styrol und ordnen Sie das Ergebnis in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>die obige Tabelle ein.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sym w:font="Symbol" w:char="F0B7"/>
      </w:r>
      <w:r>
        <w:rPr>
          <w:sz w:val="28"/>
        </w:rPr>
        <w:tab/>
        <w:t>Schätzen Sie die Entropieänderung bei dieser Verbrennungsreaktion ab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  <w:t>und begründen Sie Ihre Aussage.</w:t>
      </w:r>
      <w:r>
        <w:rPr>
          <w:sz w:val="28"/>
        </w:rPr>
        <w:tab/>
        <w:t xml:space="preserve">  5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/>
        <w:rPr>
          <w:sz w:val="28"/>
        </w:rPr>
        <w:sectPr w:rsidR="006A6819">
          <w:headerReference w:type="default" r:id="rId14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6A6819">
      <w:pPr>
        <w:pStyle w:val="berschrift5"/>
      </w:pPr>
      <w:r>
        <w:lastRenderedPageBreak/>
        <w:t>Aufgabe 4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>Elektrochemische Energiequellen sind für die Stromversorgung transportabler Geräte heute unverzichtbar.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>1</w:t>
      </w:r>
      <w:r>
        <w:rPr>
          <w:sz w:val="28"/>
        </w:rPr>
        <w:tab/>
        <w:t xml:space="preserve">Eine der ältesten elektrochemischen Energiequellen ist das </w:t>
      </w:r>
      <w:r>
        <w:rPr>
          <w:smallCaps/>
          <w:sz w:val="28"/>
        </w:rPr>
        <w:t>Daniell</w:t>
      </w:r>
      <w:r>
        <w:rPr>
          <w:sz w:val="28"/>
        </w:rPr>
        <w:t>-Element, bei welchem Kupfer, Zink, Kupfersulfat-Lösung und Zinksulfat-Lösung zum Einsatz kommen.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 xml:space="preserve">Fertigen Sie eine beschriftete Skizze eines </w:t>
      </w:r>
      <w:r>
        <w:rPr>
          <w:smallCaps/>
          <w:sz w:val="28"/>
        </w:rPr>
        <w:t>Daniell</w:t>
      </w:r>
      <w:r>
        <w:rPr>
          <w:sz w:val="28"/>
        </w:rPr>
        <w:t>-Elements bei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Standardbedingungen an, das über eine Glühlampe entladen wird.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Formulieren Sie die Gleichungen der Teilreaktionen an Anode und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Kathode. Kennzeichnen Sie in Ihrer Skizze den Plus- und Minuspol 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sowie die Bewegungsrichtung der Ladungsträger.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 xml:space="preserve">Berechnen Sie die Spannung eines </w:t>
      </w:r>
      <w:r>
        <w:rPr>
          <w:smallCaps/>
          <w:sz w:val="28"/>
        </w:rPr>
        <w:t>Daniell</w:t>
      </w:r>
      <w:r>
        <w:rPr>
          <w:sz w:val="28"/>
        </w:rPr>
        <w:t>-Elements bei Standard-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bedingungen.</w:t>
      </w:r>
      <w:r>
        <w:rPr>
          <w:sz w:val="28"/>
        </w:rPr>
        <w:tab/>
      </w:r>
      <w:r>
        <w:rPr>
          <w:sz w:val="28"/>
        </w:rPr>
        <w:tab/>
        <w:t xml:space="preserve">  6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>2</w:t>
      </w:r>
      <w:r>
        <w:rPr>
          <w:sz w:val="28"/>
        </w:rPr>
        <w:tab/>
        <w:t xml:space="preserve">Eine andere seit vielen Jahren verwendete Energiequelle ist der 1859 von </w:t>
      </w:r>
      <w:r>
        <w:rPr>
          <w:smallCaps/>
          <w:sz w:val="28"/>
        </w:rPr>
        <w:t>Planté</w:t>
      </w:r>
      <w:r>
        <w:rPr>
          <w:sz w:val="28"/>
        </w:rPr>
        <w:t xml:space="preserve"> entwickelte Bleiakkumulator.</w:t>
      </w:r>
    </w:p>
    <w:p w:rsidR="006A6819" w:rsidRDefault="006A6819">
      <w:pPr>
        <w:pStyle w:val="Textkrper-Einzug3"/>
        <w:tabs>
          <w:tab w:val="left" w:pos="851"/>
          <w:tab w:val="left" w:pos="2835"/>
        </w:tabs>
        <w:spacing w:before="120"/>
      </w:pPr>
      <w:r>
        <w:tab/>
        <w:t>Die beiden Abbildungen zeigen schematisch den Aufbau eines aufge-ladenen Bleiakkumulators (Abbildung 1) und den Aufbau des Akkumu-lators im entladenen Zustand (Abbildung 2).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 w:rsidR="004A22B5">
        <w:rPr>
          <w:noProof/>
          <w:sz w:val="28"/>
        </w:rPr>
        <w:drawing>
          <wp:inline distT="0" distB="0" distL="0" distR="0">
            <wp:extent cx="5753100" cy="1704975"/>
            <wp:effectExtent l="0" t="0" r="0" b="0"/>
            <wp:docPr id="9" name="Bild 9" descr="2009 Chemie A 4 Abb 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09 Chemie A 4 Abb 1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Erläutern Sie die Vorgänge, welche beim Entladen eines Bleiakkumu-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lators ablaufen.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Verwenden Sie dabei Reaktionsgleichungen für die Teilreaktionen an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den Elektroden.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Berechnen Sie die Spannung des dargestellten Bleiakkumulators.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Der entladene Bleiakkumulator (Abbildung 2) soll wieder aufgeladen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werden.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Beschreiben Sie die praktische Durchführung und erläutern Sie die beim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Laden ablaufenden Vorgänge.</w:t>
      </w:r>
      <w:r>
        <w:rPr>
          <w:sz w:val="28"/>
        </w:rPr>
        <w:tab/>
        <w:t xml:space="preserve">  6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67" w:hanging="567"/>
        <w:rPr>
          <w:sz w:val="28"/>
        </w:rPr>
      </w:pPr>
    </w:p>
    <w:p w:rsidR="006A6819" w:rsidRDefault="006A6819">
      <w:pPr>
        <w:numPr>
          <w:ilvl w:val="0"/>
          <w:numId w:val="5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lastRenderedPageBreak/>
        <w:t>In der Tabelle der Standardpotenziale ist das Potenzial des Redox-Paares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ind w:left="570"/>
        <w:rPr>
          <w:sz w:val="28"/>
        </w:rPr>
      </w:pPr>
      <w:r>
        <w:rPr>
          <w:sz w:val="28"/>
        </w:rPr>
        <w:t>Pb / Pb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angegeben.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Erläutern Sie unter Verwendung einer Skizze, wie dieses Potenzial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experimentell bestimmt werden kann.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>Begründen Sie, warum für das Redox-System Pb / PbSO</w:t>
      </w:r>
      <w:r>
        <w:rPr>
          <w:sz w:val="28"/>
          <w:vertAlign w:val="subscript"/>
        </w:rPr>
        <w:t>4</w:t>
      </w:r>
      <w:r>
        <w:rPr>
          <w:sz w:val="28"/>
        </w:rPr>
        <w:t xml:space="preserve">(s) ein 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negativeres Potenzial als für Pb / Pb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angegeben ist.</w:t>
      </w:r>
      <w:r>
        <w:rPr>
          <w:sz w:val="28"/>
        </w:rPr>
        <w:tab/>
        <w:t xml:space="preserve">  6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p w:rsidR="006A6819" w:rsidRDefault="006A6819">
      <w:pPr>
        <w:numPr>
          <w:ilvl w:val="0"/>
          <w:numId w:val="5"/>
        </w:numPr>
        <w:tabs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 xml:space="preserve">Im Gegensatz zum Bleiakkumulator ist das </w:t>
      </w:r>
      <w:r>
        <w:rPr>
          <w:smallCaps/>
          <w:sz w:val="28"/>
        </w:rPr>
        <w:t>Daniell</w:t>
      </w:r>
      <w:r>
        <w:rPr>
          <w:sz w:val="28"/>
        </w:rPr>
        <w:t>-Element nicht wiederaufladbar.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sym w:font="Symbol" w:char="F0B7"/>
      </w:r>
      <w:r>
        <w:rPr>
          <w:sz w:val="28"/>
        </w:rPr>
        <w:tab/>
        <w:t xml:space="preserve">Begründen Sie, warum ein </w:t>
      </w:r>
      <w:r>
        <w:rPr>
          <w:smallCaps/>
          <w:sz w:val="28"/>
        </w:rPr>
        <w:t>Daniell</w:t>
      </w:r>
      <w:r>
        <w:rPr>
          <w:sz w:val="28"/>
        </w:rPr>
        <w:t>-Element nicht wieder aufladbar ist.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Beschränken Sie sich dabei auf die Vorgänge am Minuspol.</w:t>
      </w:r>
      <w:r>
        <w:rPr>
          <w:sz w:val="28"/>
        </w:rPr>
        <w:tab/>
        <w:t xml:space="preserve">  2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20 VP</w:t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  <w:sectPr w:rsidR="006A6819">
          <w:headerReference w:type="default" r:id="rId16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4A22B5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677150"/>
            <wp:effectExtent l="0" t="0" r="0" b="0"/>
            <wp:docPr id="11" name="Bild 11" descr="2009 Chemie Anl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09 Chemie Anl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  <w:sectPr w:rsidR="006A6819">
          <w:headerReference w:type="default" r:id="rId18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4A22B5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105650"/>
            <wp:effectExtent l="0" t="0" r="0" b="0"/>
            <wp:docPr id="13" name="Bild 13" descr="2009 Chemie Anl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09 Chemie Anlag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  <w:sectPr w:rsidR="006A6819">
          <w:headerReference w:type="default" r:id="rId20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4A22B5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3100" cy="7391400"/>
            <wp:effectExtent l="0" t="0" r="0" b="0"/>
            <wp:docPr id="15" name="Bild 15" descr="2009 Chemie Anl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9 Chemie Anlag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  <w:sectPr w:rsidR="006A6819">
          <w:headerReference w:type="default" r:id="rId22"/>
          <w:pgSz w:w="11906" w:h="16838"/>
          <w:pgMar w:top="1701" w:right="1418" w:bottom="1134" w:left="1418" w:header="567" w:footer="567" w:gutter="0"/>
          <w:cols w:space="720"/>
        </w:sectPr>
      </w:pPr>
    </w:p>
    <w:p w:rsidR="006A6819" w:rsidRDefault="004A22B5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91200" cy="6591300"/>
            <wp:effectExtent l="0" t="0" r="0" b="0"/>
            <wp:docPr id="17" name="Bild 17" descr="2009 Chemie Anl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09 Chemie Anlag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19" w:rsidRDefault="006A6819">
      <w:pPr>
        <w:tabs>
          <w:tab w:val="left" w:pos="567"/>
          <w:tab w:val="left" w:pos="851"/>
          <w:tab w:val="left" w:pos="2835"/>
          <w:tab w:val="left" w:pos="8222"/>
          <w:tab w:val="left" w:pos="9072"/>
        </w:tabs>
        <w:rPr>
          <w:sz w:val="28"/>
        </w:rPr>
      </w:pPr>
    </w:p>
    <w:sectPr w:rsidR="006A6819">
      <w:headerReference w:type="default" r:id="rId24"/>
      <w:pgSz w:w="11906" w:h="16838"/>
      <w:pgMar w:top="1701" w:right="1418" w:bottom="1134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DC5" w:rsidRDefault="00F03DC5">
      <w:r>
        <w:separator/>
      </w:r>
    </w:p>
  </w:endnote>
  <w:endnote w:type="continuationSeparator" w:id="0">
    <w:p w:rsidR="00F03DC5" w:rsidRDefault="00F0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mical">
    <w:altName w:val="Symbol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819" w:rsidRDefault="006A6819">
    <w:pPr>
      <w:pStyle w:val="Fuzeile"/>
      <w:jc w:val="center"/>
      <w:rPr>
        <w:sz w:val="24"/>
      </w:rPr>
    </w:pPr>
    <w:r>
      <w:rPr>
        <w:rStyle w:val="Seitenzahl"/>
        <w:sz w:val="24"/>
      </w:rPr>
      <w:fldChar w:fldCharType="begin"/>
    </w:r>
    <w:r>
      <w:rPr>
        <w:rStyle w:val="Seitenzahl"/>
        <w:sz w:val="24"/>
      </w:rPr>
      <w:instrText xml:space="preserve"> PAGE </w:instrText>
    </w:r>
    <w:r>
      <w:rPr>
        <w:rStyle w:val="Seitenzahl"/>
        <w:sz w:val="24"/>
      </w:rPr>
      <w:fldChar w:fldCharType="separate"/>
    </w:r>
    <w:r w:rsidR="004A22B5">
      <w:rPr>
        <w:rStyle w:val="Seitenzahl"/>
        <w:noProof/>
        <w:sz w:val="24"/>
      </w:rPr>
      <w:t>1</w:t>
    </w:r>
    <w:r>
      <w:rPr>
        <w:rStyle w:val="Seitenzah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DC5" w:rsidRDefault="00F03DC5">
      <w:r>
        <w:separator/>
      </w:r>
    </w:p>
  </w:footnote>
  <w:footnote w:type="continuationSeparator" w:id="0">
    <w:p w:rsidR="00F03DC5" w:rsidRDefault="00F03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1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3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2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4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3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8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Aufgabe 4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0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1 – Periodensystem der Elemente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2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2 – Säurekonstanten bei 25° C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4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3 – Elektrodenpotenziale bei 25° C in wässrigen Lösungen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999"/>
      <w:gridCol w:w="8179"/>
    </w:tblGrid>
    <w:tr w:rsidR="006A6819">
      <w:trPr>
        <w:cantSplit/>
      </w:trPr>
      <w:tc>
        <w:tcPr>
          <w:tcW w:w="993" w:type="dxa"/>
          <w:vMerge w:val="restart"/>
        </w:tcPr>
        <w:p w:rsidR="006A6819" w:rsidRDefault="004A22B5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495300" cy="352425"/>
                <wp:effectExtent l="0" t="0" r="0" b="0"/>
                <wp:docPr id="16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6A6819" w:rsidRDefault="006A6819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Abitur 2009</w:t>
          </w:r>
        </w:p>
      </w:tc>
    </w:tr>
    <w:tr w:rsidR="006A6819">
      <w:trPr>
        <w:cantSplit/>
      </w:trPr>
      <w:tc>
        <w:tcPr>
          <w:tcW w:w="993" w:type="dxa"/>
          <w:vMerge/>
        </w:tcPr>
        <w:p w:rsidR="006A6819" w:rsidRDefault="006A6819">
          <w:pPr>
            <w:pStyle w:val="Kopfzeile"/>
          </w:pPr>
        </w:p>
      </w:tc>
      <w:tc>
        <w:tcPr>
          <w:tcW w:w="8677" w:type="dxa"/>
        </w:tcPr>
        <w:p w:rsidR="006A6819" w:rsidRDefault="006A6819">
          <w:pPr>
            <w:pStyle w:val="Kopfzeile"/>
            <w:spacing w:after="120"/>
            <w:jc w:val="center"/>
            <w:rPr>
              <w:sz w:val="24"/>
            </w:rPr>
          </w:pPr>
          <w:r>
            <w:rPr>
              <w:sz w:val="24"/>
            </w:rPr>
            <w:t>Chemie – Anlage 4  – Thermodynamische Daten bei Standardbedingungen</w:t>
          </w:r>
        </w:p>
      </w:tc>
    </w:tr>
  </w:tbl>
  <w:p w:rsidR="006A6819" w:rsidRDefault="006A6819">
    <w:pPr>
      <w:pStyle w:val="Kopfzeile"/>
      <w:spacing w:line="12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82F0D4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4E8B4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9943FBC"/>
    <w:multiLevelType w:val="multilevel"/>
    <w:tmpl w:val="90382E34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3AF63760"/>
    <w:multiLevelType w:val="multilevel"/>
    <w:tmpl w:val="1BD4D892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782C73F5"/>
    <w:multiLevelType w:val="singleLevel"/>
    <w:tmpl w:val="92A4171E"/>
    <w:lvl w:ilvl="0">
      <w:start w:val="1"/>
      <w:numFmt w:val="decimal"/>
      <w:pStyle w:val="Listennummer"/>
      <w:lvlText w:val="%1."/>
      <w:lvlJc w:val="left"/>
      <w:pPr>
        <w:tabs>
          <w:tab w:val="num" w:pos="1512"/>
        </w:tabs>
        <w:ind w:left="1512" w:hanging="432"/>
      </w:pPr>
      <w:rPr>
        <w:b/>
        <w:i w:val="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7BA"/>
    <w:rsid w:val="004A22B5"/>
    <w:rsid w:val="006A6819"/>
    <w:rsid w:val="006B77BA"/>
    <w:rsid w:val="00F0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D4CD8-EF8C-4DAA-8288-0A15B3E1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Textkrper"/>
    <w:qFormat/>
    <w:pPr>
      <w:keepNext/>
      <w:keepLines/>
      <w:spacing w:line="220" w:lineRule="atLeast"/>
      <w:outlineLvl w:val="0"/>
    </w:pPr>
    <w:rPr>
      <w:rFonts w:ascii="Arial" w:hAnsi="Arial"/>
      <w:b/>
      <w:spacing w:val="-10"/>
      <w:kern w:val="20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686"/>
        <w:tab w:val="left" w:pos="5670"/>
      </w:tabs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9072"/>
      </w:tabs>
      <w:outlineLvl w:val="3"/>
    </w:pPr>
    <w:rPr>
      <w:rFonts w:ascii="Arial" w:hAnsi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9072"/>
      </w:tabs>
      <w:outlineLvl w:val="4"/>
    </w:pPr>
    <w:rPr>
      <w:b/>
      <w:bCs/>
      <w:sz w:val="28"/>
      <w:u w:val="singl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567"/>
        <w:tab w:val="left" w:pos="851"/>
        <w:tab w:val="left" w:pos="2835"/>
        <w:tab w:val="left" w:pos="8222"/>
        <w:tab w:val="left" w:pos="9072"/>
      </w:tabs>
      <w:ind w:left="570"/>
      <w:outlineLvl w:val="5"/>
    </w:pPr>
    <w:rPr>
      <w:sz w:val="28"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567"/>
        <w:tab w:val="left" w:pos="851"/>
        <w:tab w:val="left" w:pos="2835"/>
        <w:tab w:val="left" w:pos="8222"/>
        <w:tab w:val="left" w:pos="9072"/>
      </w:tabs>
      <w:spacing w:before="120"/>
      <w:ind w:left="573"/>
      <w:outlineLvl w:val="6"/>
    </w:pPr>
    <w:rPr>
      <w:sz w:val="28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nrede">
    <w:name w:val="Salutation"/>
    <w:basedOn w:val="Standard"/>
    <w:next w:val="Textkrper"/>
    <w:semiHidden/>
    <w:pPr>
      <w:spacing w:before="240" w:after="240"/>
    </w:pPr>
  </w:style>
  <w:style w:type="paragraph" w:styleId="Textkrper">
    <w:name w:val="Body Text"/>
    <w:basedOn w:val="Standard"/>
    <w:semiHidden/>
    <w:pPr>
      <w:spacing w:after="240" w:line="240" w:lineRule="atLeast"/>
    </w:pPr>
  </w:style>
  <w:style w:type="paragraph" w:styleId="Gruformel">
    <w:name w:val="Closing"/>
    <w:basedOn w:val="Standard"/>
    <w:next w:val="Unterschrift"/>
    <w:semiHidden/>
    <w:pPr>
      <w:keepNext/>
      <w:spacing w:after="240"/>
    </w:pPr>
  </w:style>
  <w:style w:type="paragraph" w:styleId="Unterschrift">
    <w:name w:val="Signature"/>
    <w:basedOn w:val="Standard"/>
    <w:next w:val="FirmenunterschriftAbteilung"/>
    <w:semiHidden/>
    <w:pPr>
      <w:keepNext/>
      <w:spacing w:before="720"/>
    </w:pPr>
  </w:style>
  <w:style w:type="paragraph" w:customStyle="1" w:styleId="Firmenname">
    <w:name w:val="Firmenname"/>
    <w:basedOn w:val="Standard"/>
    <w:next w:val="Standard"/>
    <w:pPr>
      <w:framePr w:hSpace="142" w:vSpace="142" w:wrap="notBeside" w:vAnchor="page" w:hAnchor="text" w:y="1702"/>
      <w:spacing w:before="100" w:after="600" w:line="600" w:lineRule="atLeast"/>
    </w:pPr>
    <w:rPr>
      <w:spacing w:val="-34"/>
      <w:sz w:val="60"/>
    </w:rPr>
  </w:style>
  <w:style w:type="paragraph" w:styleId="Datum">
    <w:name w:val="Date"/>
    <w:basedOn w:val="Standard"/>
    <w:next w:val="Standard"/>
    <w:semiHidden/>
    <w:pPr>
      <w:spacing w:after="260" w:line="220" w:lineRule="atLeast"/>
      <w:ind w:left="833" w:right="-357"/>
      <w:jc w:val="right"/>
    </w:pPr>
  </w:style>
  <w:style w:type="paragraph" w:customStyle="1" w:styleId="Absender">
    <w:name w:val="Absender"/>
    <w:basedOn w:val="Standard"/>
    <w:pPr>
      <w:keepLines/>
      <w:framePr w:w="3413" w:h="1021" w:hRule="exact" w:wrap="notBeside" w:vAnchor="page" w:hAnchor="page" w:xAlign="right" w:y="959" w:anchorLock="1"/>
      <w:spacing w:line="200" w:lineRule="atLeast"/>
    </w:pPr>
    <w:rPr>
      <w:sz w:val="16"/>
    </w:rPr>
  </w:style>
  <w:style w:type="paragraph" w:customStyle="1" w:styleId="FirmenunterschriftAbteilung">
    <w:name w:val="Firmenunterschrift Abteilung"/>
    <w:basedOn w:val="Unterschrift"/>
    <w:next w:val="Standard"/>
    <w:pPr>
      <w:spacing w:before="0"/>
    </w:pPr>
  </w:style>
  <w:style w:type="paragraph" w:customStyle="1" w:styleId="Slogan">
    <w:name w:val="Slogan"/>
    <w:basedOn w:val="Standard"/>
    <w:pPr>
      <w:framePr w:w="5171" w:h="1191" w:hRule="exact" w:hSpace="187" w:vSpace="187" w:wrap="around" w:vAnchor="page" w:hAnchor="page" w:x="965" w:yAlign="bottom" w:anchorLock="1"/>
    </w:pPr>
    <w:rPr>
      <w:i/>
      <w:spacing w:val="-6"/>
      <w:sz w:val="24"/>
    </w:rPr>
  </w:style>
  <w:style w:type="paragraph" w:styleId="Kopfzeile">
    <w:name w:val="header"/>
    <w:basedOn w:val="Standard"/>
    <w:semiHidden/>
    <w:pPr>
      <w:tabs>
        <w:tab w:val="center" w:pos="4320"/>
        <w:tab w:val="right" w:pos="8640"/>
      </w:tabs>
    </w:pPr>
    <w:rPr>
      <w:i/>
    </w:rPr>
  </w:style>
  <w:style w:type="paragraph" w:styleId="Fuzeile">
    <w:name w:val="footer"/>
    <w:basedOn w:val="Standard"/>
    <w:semiHidden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semiHidden/>
  </w:style>
  <w:style w:type="paragraph" w:customStyle="1" w:styleId="Briefkopfadresse">
    <w:name w:val="Briefkopfadresse"/>
    <w:basedOn w:val="Standard"/>
    <w:next w:val="Bezugszeichenzeile"/>
    <w:pPr>
      <w:framePr w:wrap="notBeside" w:vAnchor="page" w:hAnchor="text" w:y="3369"/>
    </w:pPr>
  </w:style>
  <w:style w:type="paragraph" w:customStyle="1" w:styleId="Bezugszeichenzeile">
    <w:name w:val="Bezugszeichenzeile"/>
    <w:basedOn w:val="Standard"/>
    <w:next w:val="Bezugszeichentext"/>
    <w:pPr>
      <w:framePr w:wrap="notBeside" w:vAnchor="page" w:hAnchor="text" w:y="5524"/>
      <w:tabs>
        <w:tab w:val="left" w:pos="2835"/>
        <w:tab w:val="left" w:pos="5783"/>
        <w:tab w:val="left" w:pos="8080"/>
      </w:tabs>
    </w:pPr>
    <w:rPr>
      <w:sz w:val="16"/>
    </w:rPr>
  </w:style>
  <w:style w:type="paragraph" w:customStyle="1" w:styleId="Bezugszeichentext">
    <w:name w:val="Bezugszeichentext"/>
    <w:basedOn w:val="Bezugszeichenzeile"/>
    <w:next w:val="Betreffzeile"/>
    <w:pPr>
      <w:framePr w:hSpace="142" w:vSpace="142" w:wrap="notBeside" w:y="5762"/>
      <w:ind w:right="-964"/>
    </w:pPr>
    <w:rPr>
      <w:noProof/>
      <w:sz w:val="20"/>
    </w:rPr>
  </w:style>
  <w:style w:type="paragraph" w:customStyle="1" w:styleId="Betreffzeile">
    <w:name w:val="Betreffzeile"/>
    <w:basedOn w:val="Standard"/>
    <w:next w:val="Anrede"/>
    <w:pPr>
      <w:framePr w:wrap="notBeside" w:vAnchor="page" w:hAnchor="text" w:y="6482"/>
      <w:spacing w:after="240"/>
    </w:pPr>
    <w:rPr>
      <w:b/>
    </w:rPr>
  </w:style>
  <w:style w:type="paragraph" w:customStyle="1" w:styleId="Firmenunterschrift">
    <w:name w:val="Firmenunterschrift"/>
    <w:basedOn w:val="Unterschrift"/>
    <w:next w:val="Standard"/>
    <w:pPr>
      <w:spacing w:before="0"/>
    </w:pPr>
  </w:style>
  <w:style w:type="paragraph" w:styleId="Listennummer">
    <w:name w:val="List Number"/>
    <w:basedOn w:val="Liste"/>
    <w:semiHidden/>
    <w:pPr>
      <w:numPr>
        <w:numId w:val="3"/>
      </w:numPr>
      <w:spacing w:after="240" w:line="220" w:lineRule="atLeast"/>
    </w:pPr>
  </w:style>
  <w:style w:type="paragraph" w:styleId="Liste">
    <w:name w:val="List"/>
    <w:basedOn w:val="Standard"/>
    <w:semiHidden/>
    <w:pPr>
      <w:ind w:left="283" w:hanging="283"/>
    </w:pPr>
  </w:style>
  <w:style w:type="paragraph" w:customStyle="1" w:styleId="Anlage">
    <w:name w:val="Anlage"/>
    <w:basedOn w:val="Textkrper"/>
    <w:next w:val="Standard"/>
    <w:pPr>
      <w:keepNext/>
      <w:keepLines/>
      <w:spacing w:before="240" w:after="0"/>
    </w:pPr>
  </w:style>
  <w:style w:type="paragraph" w:customStyle="1" w:styleId="Briefkopf">
    <w:name w:val="Briefkopf"/>
    <w:basedOn w:val="Kopfzeile"/>
    <w:pPr>
      <w:framePr w:h="5914" w:hRule="exact" w:hSpace="142" w:vSpace="142" w:wrap="notBeside" w:vAnchor="page" w:hAnchor="margin" w:y="1"/>
      <w:jc w:val="both"/>
    </w:pPr>
    <w:rPr>
      <w:rFonts w:ascii="Garamond" w:hAnsi="Garamond"/>
      <w:i w:val="0"/>
      <w:kern w:val="18"/>
    </w:rPr>
  </w:style>
  <w:style w:type="paragraph" w:customStyle="1" w:styleId="AbsenderimKuvertfenster">
    <w:name w:val="Absender im Kuvertfenster"/>
    <w:basedOn w:val="Briefkopfadresse"/>
    <w:next w:val="Versandanweisungen"/>
    <w:pPr>
      <w:framePr w:wrap="notBeside" w:y="2881"/>
    </w:pPr>
    <w:rPr>
      <w:sz w:val="16"/>
      <w:u w:val="single"/>
    </w:rPr>
  </w:style>
  <w:style w:type="paragraph" w:customStyle="1" w:styleId="Versandanweisungen">
    <w:name w:val="Versandanweisungen"/>
    <w:basedOn w:val="Briefkopfadresse"/>
    <w:next w:val="Briefkopfadresse"/>
    <w:pPr>
      <w:framePr w:hSpace="142" w:vSpace="142" w:wrap="notBeside" w:y="3125"/>
    </w:pPr>
  </w:style>
  <w:style w:type="paragraph" w:customStyle="1" w:styleId="CcListe">
    <w:name w:val="Cc Liste"/>
    <w:basedOn w:val="Standard"/>
    <w:pPr>
      <w:tabs>
        <w:tab w:val="left" w:pos="1134"/>
      </w:tabs>
    </w:pPr>
  </w:style>
  <w:style w:type="paragraph" w:styleId="Titel">
    <w:name w:val="Title"/>
    <w:basedOn w:val="Standard"/>
    <w:qFormat/>
    <w:pPr>
      <w:jc w:val="center"/>
    </w:pPr>
    <w:rPr>
      <w:b/>
      <w:sz w:val="32"/>
    </w:rPr>
  </w:style>
  <w:style w:type="paragraph" w:styleId="Textkrper2">
    <w:name w:val="Body Text 2"/>
    <w:basedOn w:val="Standard"/>
    <w:semiHidden/>
    <w:pPr>
      <w:autoSpaceDE w:val="0"/>
      <w:autoSpaceDN w:val="0"/>
      <w:adjustRightInd w:val="0"/>
      <w:jc w:val="both"/>
    </w:pPr>
    <w:rPr>
      <w:sz w:val="32"/>
    </w:rPr>
  </w:style>
  <w:style w:type="paragraph" w:styleId="Textkrper3">
    <w:name w:val="Body Text 3"/>
    <w:basedOn w:val="Standard"/>
    <w:semiHidden/>
    <w:pPr>
      <w:autoSpaceDE w:val="0"/>
      <w:autoSpaceDN w:val="0"/>
      <w:adjustRightInd w:val="0"/>
      <w:jc w:val="both"/>
    </w:pPr>
    <w:rPr>
      <w:sz w:val="28"/>
    </w:r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Textkrper-Zeileneinzug">
    <w:name w:val="Body Text Indent"/>
    <w:basedOn w:val="Standard"/>
    <w:semiHidden/>
    <w:pPr>
      <w:tabs>
        <w:tab w:val="left" w:pos="709"/>
        <w:tab w:val="left" w:pos="9072"/>
      </w:tabs>
      <w:ind w:left="567" w:hanging="567"/>
      <w:jc w:val="both"/>
    </w:pPr>
    <w:rPr>
      <w:rFonts w:ascii="Arial" w:hAnsi="Arial"/>
      <w:sz w:val="22"/>
    </w:rPr>
  </w:style>
  <w:style w:type="paragraph" w:styleId="Textkrper-Einzug2">
    <w:name w:val="Body Text Indent 2"/>
    <w:basedOn w:val="Standard"/>
    <w:semiHidden/>
    <w:pPr>
      <w:tabs>
        <w:tab w:val="left" w:pos="851"/>
        <w:tab w:val="left" w:pos="9072"/>
      </w:tabs>
      <w:ind w:left="567" w:hanging="567"/>
    </w:pPr>
    <w:rPr>
      <w:rFonts w:ascii="Arial" w:hAnsi="Arial"/>
      <w:sz w:val="22"/>
    </w:rPr>
  </w:style>
  <w:style w:type="paragraph" w:styleId="Textkrper-Einzug3">
    <w:name w:val="Body Text Indent 3"/>
    <w:basedOn w:val="Standard"/>
    <w:semiHidden/>
    <w:pPr>
      <w:tabs>
        <w:tab w:val="left" w:pos="567"/>
        <w:tab w:val="left" w:pos="8222"/>
        <w:tab w:val="left" w:pos="9072"/>
      </w:tabs>
      <w:ind w:left="567" w:hanging="567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1264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2009-10-08T13:20:00Z</cp:lastPrinted>
  <dcterms:created xsi:type="dcterms:W3CDTF">2017-04-13T13:42:00Z</dcterms:created>
  <dcterms:modified xsi:type="dcterms:W3CDTF">2017-04-13T13:42:00Z</dcterms:modified>
</cp:coreProperties>
</file>