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59" w:rsidRDefault="00134059" w:rsidP="005C0BC7">
      <w:pPr>
        <w:pStyle w:val="berschrift2"/>
        <w:ind w:left="1985" w:hanging="1985"/>
      </w:pPr>
      <w:bookmarkStart w:id="0" w:name="_GoBack"/>
      <w:bookmarkEnd w:id="0"/>
      <w:r>
        <w:t>AUFGABE 1</w:t>
      </w:r>
      <w:r w:rsidR="005C0BC7">
        <w:tab/>
      </w:r>
      <w:r>
        <w:t>Elektrochemie, Energetik, Gleichgewichtslehre, Säuren und  Basen</w:t>
      </w:r>
    </w:p>
    <w:p w:rsidR="00134059" w:rsidRDefault="00134059" w:rsidP="005C0BC7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Redoxreaktion (Herstellung von Essigsäure)</w:t>
      </w:r>
    </w:p>
    <w:p w:rsidR="00134059" w:rsidRDefault="00134059" w:rsidP="005C0BC7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Berechnung einer molaren Standardbildungsenthalpie und einer molaren Standardbildungsentropie (Essigsäure aus Methanol und Kohlenstoffmonooxid)</w:t>
      </w:r>
    </w:p>
    <w:p w:rsidR="00134059" w:rsidRDefault="00134059" w:rsidP="005C0BC7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Massenwirkungsgesetz für die Bildung von Essigsäure,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MWG und Leitfähigkeitsänderung</w:t>
      </w:r>
    </w:p>
    <w:p w:rsidR="00134059" w:rsidRDefault="00134059" w:rsidP="005C0BC7">
      <w:pPr>
        <w:numPr>
          <w:ilvl w:val="0"/>
          <w:numId w:val="1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 xml:space="preserve">Konzentrationsberechnung von Essigsäure in Speiseessig,  </w:t>
      </w:r>
      <w:r>
        <w:rPr>
          <w:sz w:val="6"/>
          <w:lang w:val="de-DE"/>
        </w:rPr>
        <w:t xml:space="preserve">    </w:t>
      </w:r>
      <w:r>
        <w:rPr>
          <w:sz w:val="28"/>
          <w:lang w:val="de-DE"/>
        </w:rPr>
        <w:t>pH-Wert-Berechnung gleichkonzentrierter schwacher und starker Säuren (Essigsäure, Salzsäure),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</w:t>
      </w:r>
      <w:r w:rsidR="005C0BC7">
        <w:rPr>
          <w:sz w:val="28"/>
          <w:lang w:val="de-DE"/>
        </w:rPr>
        <w:t>u</w:t>
      </w:r>
      <w:r>
        <w:rPr>
          <w:sz w:val="28"/>
          <w:lang w:val="de-DE"/>
        </w:rPr>
        <w:t xml:space="preserve">ffergleichgewicht (Acetatpuffer) </w:t>
      </w:r>
    </w:p>
    <w:p w:rsidR="00134059" w:rsidRDefault="00134059" w:rsidP="005C0BC7">
      <w:pPr>
        <w:pStyle w:val="berschrift2"/>
        <w:spacing w:before="120"/>
        <w:ind w:left="1985" w:hanging="1985"/>
      </w:pPr>
      <w:r>
        <w:t>AUFGABE 2</w:t>
      </w:r>
      <w:r w:rsidR="005C0BC7">
        <w:tab/>
      </w:r>
      <w:r>
        <w:t>Nucleinsäuren, Aminosäuren und Proteine</w:t>
      </w:r>
    </w:p>
    <w:p w:rsidR="00134059" w:rsidRDefault="00134059" w:rsidP="005C0BC7">
      <w:pPr>
        <w:pStyle w:val="berschrift2"/>
        <w:numPr>
          <w:ilvl w:val="0"/>
          <w:numId w:val="2"/>
        </w:numPr>
        <w:tabs>
          <w:tab w:val="clear" w:pos="2190"/>
        </w:tabs>
        <w:ind w:left="2268" w:hanging="283"/>
        <w:rPr>
          <w:b w:val="0"/>
          <w:bCs w:val="0"/>
        </w:rPr>
      </w:pPr>
      <w:r>
        <w:rPr>
          <w:b w:val="0"/>
          <w:bCs w:val="0"/>
        </w:rPr>
        <w:t>Bau der DNA,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Basenkomplementarität</w:t>
      </w:r>
    </w:p>
    <w:p w:rsidR="00134059" w:rsidRDefault="00134059" w:rsidP="005C0BC7">
      <w:pPr>
        <w:numPr>
          <w:ilvl w:val="0"/>
          <w:numId w:val="2"/>
        </w:numPr>
        <w:tabs>
          <w:tab w:val="clear" w:pos="2190"/>
        </w:tabs>
        <w:ind w:left="2268" w:hanging="283"/>
        <w:rPr>
          <w:sz w:val="28"/>
          <w:lang w:val="de-DE"/>
        </w:rPr>
      </w:pPr>
      <w:r>
        <w:rPr>
          <w:sz w:val="28"/>
          <w:lang w:val="de-DE"/>
        </w:rPr>
        <w:t>Peptidbindung, Strukturformel ein Tripeptids,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Primär-, Sekundär- und Tertiärstruktur eines Proteins,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Denaturierung,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qualitativer Nachweis von Aminosäuren</w:t>
      </w:r>
    </w:p>
    <w:p w:rsidR="00134059" w:rsidRDefault="00134059" w:rsidP="005C0BC7">
      <w:pPr>
        <w:pStyle w:val="berschrift2"/>
        <w:spacing w:before="120"/>
        <w:ind w:left="1985" w:hanging="1985"/>
      </w:pPr>
      <w:r>
        <w:t>AUFGABE 3</w:t>
      </w:r>
      <w:r w:rsidR="005C0BC7">
        <w:tab/>
      </w:r>
      <w:r>
        <w:t>Kunststoffe, Elektrochemie</w:t>
      </w:r>
    </w:p>
    <w:p w:rsidR="00134059" w:rsidRDefault="00134059" w:rsidP="005C0BC7">
      <w:pPr>
        <w:pStyle w:val="berschrift2"/>
        <w:numPr>
          <w:ilvl w:val="0"/>
          <w:numId w:val="4"/>
        </w:numPr>
        <w:tabs>
          <w:tab w:val="clear" w:pos="2190"/>
        </w:tabs>
        <w:ind w:left="2268" w:hanging="283"/>
        <w:jc w:val="both"/>
        <w:rPr>
          <w:b w:val="0"/>
          <w:bCs w:val="0"/>
        </w:rPr>
      </w:pPr>
      <w:r>
        <w:rPr>
          <w:b w:val="0"/>
          <w:bCs w:val="0"/>
        </w:rPr>
        <w:t>Monomeren,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Polymerisation zur Bildung von Superabsorbern (SAP),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Steuerung der Synthese von SAP,</w:t>
      </w:r>
    </w:p>
    <w:p w:rsidR="00134059" w:rsidRDefault="00134059" w:rsidP="005C0BC7">
      <w:pPr>
        <w:ind w:left="2268"/>
        <w:rPr>
          <w:sz w:val="28"/>
          <w:lang w:val="de-DE"/>
        </w:rPr>
      </w:pPr>
      <w:r>
        <w:rPr>
          <w:sz w:val="28"/>
          <w:lang w:val="de-DE"/>
        </w:rPr>
        <w:t>Quellfähigkeit von SAP (Wechselwirkung mit Dipol H</w:t>
      </w:r>
      <w:r>
        <w:rPr>
          <w:sz w:val="28"/>
          <w:vertAlign w:val="subscript"/>
          <w:lang w:val="de-DE"/>
        </w:rPr>
        <w:t>2</w:t>
      </w:r>
      <w:r>
        <w:rPr>
          <w:sz w:val="28"/>
          <w:lang w:val="de-DE"/>
        </w:rPr>
        <w:t>O, Abhängigkeit vom pH-Wert)</w:t>
      </w:r>
    </w:p>
    <w:p w:rsidR="00134059" w:rsidRDefault="00134059" w:rsidP="005C0BC7">
      <w:pPr>
        <w:pStyle w:val="berschrift2"/>
        <w:numPr>
          <w:ilvl w:val="0"/>
          <w:numId w:val="4"/>
        </w:numPr>
        <w:tabs>
          <w:tab w:val="clear" w:pos="2190"/>
        </w:tabs>
        <w:ind w:left="2268" w:hanging="283"/>
        <w:jc w:val="both"/>
        <w:rPr>
          <w:b w:val="0"/>
          <w:bCs w:val="0"/>
        </w:rPr>
      </w:pPr>
      <w:r>
        <w:rPr>
          <w:b w:val="0"/>
          <w:bCs w:val="0"/>
          <w:sz w:val="6"/>
        </w:rPr>
        <w:t xml:space="preserve"> </w:t>
      </w:r>
      <w:r>
        <w:rPr>
          <w:b w:val="0"/>
          <w:bCs w:val="0"/>
        </w:rPr>
        <w:t xml:space="preserve">SAP als Elektrolyte, </w:t>
      </w:r>
    </w:p>
    <w:p w:rsidR="00134059" w:rsidRDefault="00134059" w:rsidP="005C0BC7">
      <w:pPr>
        <w:pStyle w:val="berschrift2"/>
        <w:ind w:left="2268"/>
        <w:jc w:val="both"/>
      </w:pPr>
      <w:r>
        <w:rPr>
          <w:b w:val="0"/>
          <w:bCs w:val="0"/>
        </w:rPr>
        <w:t>Nachweis der bei der Elektrolyse gebildeten Gase (Glimm-spanprobe, Knallgasprobe)</w:t>
      </w:r>
    </w:p>
    <w:p w:rsidR="00134059" w:rsidRDefault="00134059" w:rsidP="005C0BC7">
      <w:pPr>
        <w:pStyle w:val="berschrift2"/>
        <w:spacing w:before="120"/>
        <w:ind w:left="1985" w:hanging="1985"/>
      </w:pPr>
      <w:r>
        <w:t>AUFGABE 4</w:t>
      </w:r>
      <w:r w:rsidR="005C0BC7">
        <w:tab/>
      </w:r>
      <w:r>
        <w:t>Elektrochemie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Laden und Entladen eines Akkus (Nickel-Metallhydrid-Akku, NiMH-Akku),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Polung bei galvanischen Elementen,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Berechnung einer Zellspannung (NiMH-Akku),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Konzentrationsabhängigkeit der Zellspannung,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stöchiometrische Berechnung einer CO</w:t>
      </w:r>
      <w:r>
        <w:rPr>
          <w:vertAlign w:val="subscript"/>
        </w:rPr>
        <w:t>2</w:t>
      </w:r>
      <w:r>
        <w:t>-Menge (weniger CO</w:t>
      </w:r>
      <w:r>
        <w:rPr>
          <w:vertAlign w:val="subscript"/>
        </w:rPr>
        <w:t>2</w:t>
      </w:r>
      <w:r>
        <w:t>-Emission beim Hybridmotor als beim Verbrennungsmotor),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Wasserstofferzeugung im Reformer aus MeOH und H</w:t>
      </w:r>
      <w:r>
        <w:rPr>
          <w:vertAlign w:val="subscript"/>
        </w:rPr>
        <w:t>2</w:t>
      </w:r>
      <w:r>
        <w:t>O,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Skizze einer Brennstoffzelle,</w:t>
      </w:r>
    </w:p>
    <w:p w:rsidR="00134059" w:rsidRDefault="00134059" w:rsidP="00E37DC2">
      <w:pPr>
        <w:pStyle w:val="Textkrper-Zeileneinzug"/>
        <w:ind w:left="1985" w:firstLine="0"/>
        <w:jc w:val="both"/>
      </w:pPr>
      <w:r>
        <w:t>Umweltverträglichkeit verschiedener KfZ-Motoren</w:t>
      </w:r>
    </w:p>
    <w:sectPr w:rsidR="00134059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9E" w:rsidRDefault="00FA649E" w:rsidP="005C0BC7">
      <w:r>
        <w:separator/>
      </w:r>
    </w:p>
  </w:endnote>
  <w:endnote w:type="continuationSeparator" w:id="0">
    <w:p w:rsidR="00FA649E" w:rsidRDefault="00FA649E" w:rsidP="005C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9E" w:rsidRDefault="00FA649E" w:rsidP="005C0BC7">
      <w:r>
        <w:separator/>
      </w:r>
    </w:p>
  </w:footnote>
  <w:footnote w:type="continuationSeparator" w:id="0">
    <w:p w:rsidR="00FA649E" w:rsidRDefault="00FA649E" w:rsidP="005C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9"/>
      <w:gridCol w:w="8179"/>
    </w:tblGrid>
    <w:tr w:rsidR="005C0BC7" w:rsidRPr="005C0BC7" w:rsidTr="00134059">
      <w:tc>
        <w:tcPr>
          <w:tcW w:w="993" w:type="dxa"/>
          <w:vMerge w:val="restart"/>
        </w:tcPr>
        <w:p w:rsidR="005C0BC7" w:rsidRDefault="00FF1E5F" w:rsidP="00134059">
          <w:pPr>
            <w:pStyle w:val="Kopfzeile"/>
          </w:pPr>
          <w:r w:rsidRPr="00674FFC"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5C0BC7" w:rsidRPr="005C0BC7" w:rsidRDefault="005C0BC7" w:rsidP="00134059">
          <w:pPr>
            <w:pStyle w:val="Kopfzeile"/>
            <w:jc w:val="center"/>
            <w:rPr>
              <w:b/>
              <w:sz w:val="28"/>
              <w:szCs w:val="28"/>
              <w:lang w:val="de-DE"/>
            </w:rPr>
          </w:pPr>
          <w:r w:rsidRPr="005C0BC7">
            <w:rPr>
              <w:b/>
              <w:sz w:val="28"/>
              <w:szCs w:val="28"/>
              <w:lang w:val="de-DE"/>
            </w:rPr>
            <w:t xml:space="preserve">Abitur 2008 </w:t>
          </w:r>
        </w:p>
        <w:p w:rsidR="005C0BC7" w:rsidRPr="005C0BC7" w:rsidRDefault="002F7AA4" w:rsidP="005C0BC7">
          <w:pPr>
            <w:pStyle w:val="Kopfzeile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Chemie</w:t>
          </w:r>
          <w:r w:rsidR="005C0BC7" w:rsidRPr="005C0BC7">
            <w:rPr>
              <w:b/>
              <w:sz w:val="28"/>
              <w:szCs w:val="28"/>
              <w:lang w:val="de-DE"/>
            </w:rPr>
            <w:t xml:space="preserve"> - Themenübersicht</w:t>
          </w:r>
        </w:p>
      </w:tc>
    </w:tr>
    <w:tr w:rsidR="005C0BC7" w:rsidRPr="00530B17" w:rsidTr="00134059">
      <w:tc>
        <w:tcPr>
          <w:tcW w:w="993" w:type="dxa"/>
          <w:vMerge/>
        </w:tcPr>
        <w:p w:rsidR="005C0BC7" w:rsidRPr="005C0BC7" w:rsidRDefault="005C0BC7" w:rsidP="00134059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5C0BC7" w:rsidRPr="00530B17" w:rsidRDefault="00E708EE" w:rsidP="00134059">
          <w:pPr>
            <w:pStyle w:val="Kopfzeile"/>
            <w:spacing w:after="120"/>
            <w:jc w:val="center"/>
            <w:rPr>
              <w:lang w:val="de-DE"/>
            </w:rPr>
          </w:pPr>
          <w:r>
            <w:rPr>
              <w:lang w:val="de-DE"/>
            </w:rPr>
            <w:t>Bearbeitet von Hans-</w:t>
          </w:r>
          <w:r w:rsidR="005C0BC7" w:rsidRPr="00530B17">
            <w:rPr>
              <w:lang w:val="de-DE"/>
            </w:rPr>
            <w:t>Jürgen Staudenmaier</w:t>
          </w:r>
        </w:p>
      </w:tc>
    </w:tr>
  </w:tbl>
  <w:p w:rsidR="005C0BC7" w:rsidRPr="005C0BC7" w:rsidRDefault="005C0BC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7"/>
    <w:rsid w:val="00134059"/>
    <w:rsid w:val="002F7AA4"/>
    <w:rsid w:val="003E790B"/>
    <w:rsid w:val="005C0BC7"/>
    <w:rsid w:val="00685829"/>
    <w:rsid w:val="007216B4"/>
    <w:rsid w:val="00E37DC2"/>
    <w:rsid w:val="00E708EE"/>
    <w:rsid w:val="00F7707C"/>
    <w:rsid w:val="00FA649E"/>
    <w:rsid w:val="00FB45F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9A0-2127-48CF-9329-6539510C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0B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BC7"/>
    <w:rPr>
      <w:sz w:val="27"/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5C0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0BC7"/>
    <w:rPr>
      <w:sz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2008-10-31T12:41:00Z</cp:lastPrinted>
  <dcterms:created xsi:type="dcterms:W3CDTF">2017-04-13T13:41:00Z</dcterms:created>
  <dcterms:modified xsi:type="dcterms:W3CDTF">2017-04-13T13:41:00Z</dcterms:modified>
</cp:coreProperties>
</file>